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4C" w:rsidRDefault="00F750F8">
      <w:pPr>
        <w:jc w:val="center"/>
        <w:rPr>
          <w:rFonts w:ascii="黑体" w:eastAsia="黑体" w:hAnsi="黑体"/>
          <w:sz w:val="32"/>
          <w:szCs w:val="32"/>
        </w:rPr>
      </w:pPr>
      <w:r>
        <w:rPr>
          <w:rFonts w:ascii="黑体" w:eastAsia="黑体" w:hAnsi="黑体" w:hint="eastAsia"/>
          <w:sz w:val="32"/>
          <w:szCs w:val="32"/>
        </w:rPr>
        <w:t>GB/T ××××-××××《浓缩天然胶乳 总磷酸盐含量的测定 分光光度法》</w:t>
      </w:r>
    </w:p>
    <w:p w:rsidR="0034634C" w:rsidRDefault="00F750F8">
      <w:pPr>
        <w:jc w:val="center"/>
        <w:rPr>
          <w:rFonts w:ascii="黑体" w:eastAsia="黑体" w:hAnsi="黑体"/>
          <w:sz w:val="32"/>
          <w:szCs w:val="32"/>
        </w:rPr>
      </w:pPr>
      <w:r>
        <w:rPr>
          <w:rFonts w:ascii="黑体" w:eastAsia="黑体" w:hAnsi="黑体" w:hint="eastAsia"/>
          <w:sz w:val="32"/>
          <w:szCs w:val="32"/>
        </w:rPr>
        <w:t>（征求</w:t>
      </w:r>
      <w:r>
        <w:rPr>
          <w:rFonts w:ascii="黑体" w:eastAsia="黑体" w:hAnsi="黑体"/>
          <w:sz w:val="32"/>
          <w:szCs w:val="32"/>
        </w:rPr>
        <w:t>意见</w:t>
      </w:r>
      <w:r>
        <w:rPr>
          <w:rFonts w:ascii="黑体" w:eastAsia="黑体" w:hAnsi="黑体" w:hint="eastAsia"/>
          <w:sz w:val="32"/>
          <w:szCs w:val="32"/>
        </w:rPr>
        <w:t>稿）编制说明</w:t>
      </w:r>
    </w:p>
    <w:p w:rsidR="0034634C" w:rsidRDefault="0034634C">
      <w:pPr>
        <w:jc w:val="center"/>
        <w:rPr>
          <w:rFonts w:ascii="黑体" w:eastAsia="黑体" w:hAnsi="黑体"/>
          <w:sz w:val="32"/>
          <w:szCs w:val="32"/>
        </w:rPr>
      </w:pPr>
    </w:p>
    <w:p w:rsidR="0034634C" w:rsidRDefault="00F750F8">
      <w:pPr>
        <w:spacing w:line="360" w:lineRule="auto"/>
        <w:rPr>
          <w:rFonts w:ascii="黑体" w:eastAsia="黑体" w:hAnsi="黑体"/>
          <w:sz w:val="24"/>
        </w:rPr>
      </w:pPr>
      <w:r>
        <w:rPr>
          <w:rFonts w:ascii="黑体" w:eastAsia="黑体" w:hAnsi="黑体" w:hint="eastAsia"/>
          <w:sz w:val="24"/>
        </w:rPr>
        <w:t>1 简况</w:t>
      </w:r>
    </w:p>
    <w:p w:rsidR="0034634C" w:rsidRDefault="00F750F8">
      <w:pPr>
        <w:spacing w:line="360" w:lineRule="auto"/>
        <w:rPr>
          <w:rFonts w:ascii="黑体" w:eastAsia="黑体" w:hAnsi="黑体"/>
          <w:bCs/>
          <w:sz w:val="24"/>
        </w:rPr>
      </w:pPr>
      <w:r>
        <w:rPr>
          <w:rFonts w:ascii="黑体" w:eastAsia="黑体" w:hAnsi="黑体" w:hint="eastAsia"/>
          <w:bCs/>
          <w:sz w:val="24"/>
        </w:rPr>
        <w:t>1.1 任务来源</w:t>
      </w:r>
    </w:p>
    <w:p w:rsidR="0034634C" w:rsidRDefault="00F750F8">
      <w:pPr>
        <w:spacing w:line="360" w:lineRule="auto"/>
        <w:ind w:firstLineChars="200" w:firstLine="480"/>
        <w:rPr>
          <w:rFonts w:ascii="宋体" w:hAnsi="宋体"/>
          <w:sz w:val="24"/>
        </w:rPr>
      </w:pPr>
      <w:r>
        <w:rPr>
          <w:rFonts w:ascii="宋体" w:hAnsi="宋体" w:hint="eastAsia"/>
          <w:sz w:val="24"/>
        </w:rPr>
        <w:t>根据国标委综合〔2018〕25号《国家标准委关于下达2018年第一批国家标准制修订计划的通知》，国家标准制定项目《浓缩天然胶乳 总磷酸盐含量的测定 分光光度法》（项目编号20180241-T-606），由中国石油和化学工业联合会提出，全国橡胶与橡胶制品标准化技术委员会天然橡胶分技术委员会（SAC/TC 35/SC 8）归口，中国热带农业科学院农产品加工研究所负责起草，</w:t>
      </w:r>
      <w:r>
        <w:rPr>
          <w:rFonts w:hint="eastAsia"/>
          <w:sz w:val="24"/>
        </w:rPr>
        <w:t>海南省天然橡胶质量检验站</w:t>
      </w:r>
      <w:r>
        <w:rPr>
          <w:rFonts w:ascii="宋体" w:hAnsi="宋体" w:hint="eastAsia"/>
          <w:sz w:val="24"/>
        </w:rPr>
        <w:t>、海南省产品质量监督检验所、海南中橡科技有限公司</w:t>
      </w:r>
      <w:r w:rsidR="00546478">
        <w:rPr>
          <w:rFonts w:ascii="宋体" w:hAnsi="宋体" w:hint="eastAsia"/>
          <w:sz w:val="24"/>
        </w:rPr>
        <w:t>参加起草</w:t>
      </w:r>
      <w:r>
        <w:rPr>
          <w:rFonts w:ascii="宋体" w:hAnsi="宋体" w:hint="eastAsia"/>
          <w:sz w:val="24"/>
        </w:rPr>
        <w:t>。</w:t>
      </w:r>
    </w:p>
    <w:p w:rsidR="0034634C" w:rsidRDefault="00F750F8">
      <w:pPr>
        <w:spacing w:line="360" w:lineRule="auto"/>
        <w:rPr>
          <w:rFonts w:ascii="黑体" w:eastAsia="黑体" w:hAnsi="黑体"/>
          <w:bCs/>
          <w:sz w:val="24"/>
        </w:rPr>
      </w:pPr>
      <w:r>
        <w:rPr>
          <w:rFonts w:ascii="黑体" w:eastAsia="黑体" w:hAnsi="黑体" w:hint="eastAsia"/>
          <w:bCs/>
          <w:sz w:val="24"/>
        </w:rPr>
        <w:t>1.2 本标准修订的意义</w:t>
      </w:r>
    </w:p>
    <w:p w:rsidR="0034634C" w:rsidRDefault="00F750F8">
      <w:pPr>
        <w:spacing w:line="360" w:lineRule="auto"/>
        <w:ind w:firstLineChars="200" w:firstLine="480"/>
        <w:rPr>
          <w:rFonts w:ascii="宋体" w:hAnsi="宋体"/>
          <w:sz w:val="24"/>
        </w:rPr>
      </w:pPr>
      <w:r>
        <w:rPr>
          <w:rFonts w:ascii="宋体" w:hAnsi="宋体" w:hint="eastAsia"/>
          <w:sz w:val="24"/>
        </w:rPr>
        <w:t>浓缩天然胶乳为天然橡胶初加工两大产品之一（占15%左右）。由于具有优异的综合性能，除了可以直接用于生产胶乳制品（如医用胶乳制品）外，还用于很多非胶制品如浸渍帘布、地毯、造纸、纺织、无纺布、胶粘剂、涂料、密封胶等产品。现已广泛应用于国防、气象、医疗卫生、交通运输、工业、农业、建筑和食品工业等领域。</w:t>
      </w:r>
    </w:p>
    <w:p w:rsidR="0034634C" w:rsidRDefault="00F750F8">
      <w:pPr>
        <w:spacing w:line="360" w:lineRule="auto"/>
        <w:ind w:firstLineChars="200" w:firstLine="480"/>
        <w:rPr>
          <w:rFonts w:ascii="宋体" w:hAnsi="宋体"/>
          <w:sz w:val="24"/>
        </w:rPr>
      </w:pPr>
      <w:r>
        <w:rPr>
          <w:rFonts w:ascii="宋体" w:hAnsi="宋体" w:hint="eastAsia"/>
          <w:sz w:val="24"/>
        </w:rPr>
        <w:t>浓缩天然胶乳的机械稳定性是GB/T 8289《浓缩天然胶乳 氨保存离心或膏化胶乳 规格》中的一项重要指标。由于天然橡胶是生物合成产物，不可避免地会受到外在自然环境的影响，如土壤的化学成分、气候对天然胶乳生理影响的不同，都会影响天然胶乳中化学成分的组成。其中，为了保证橡胶树光合作用所必须的叶绿素，橡胶树必须不断从土壤吸收镁离子。残留于天然胶乳中的游离镁离子（包括伴生的钙离子等金属离子）对天然胶乳的机械稳定性有不利的影响。一方面，这些二价金属离子会压缩橡胶粒子双电子层，使扩散层变薄，ξ 电位降低，静电斥力减小；另一方面，钙、镁离子可与橡胶粒子保护层蛋白质和高级脂肪酸皂发生反应，生成难溶于水的蛋白质盐和钙、镁皂，使橡胶粒子脱水。 不同品系天然胶乳中钙、镁离子含量不同，一旦含量较高就会对天然胶乳产生去稳 定作用，从而降低天然胶乳的机械稳定度。对于这种胶乳，通常加入可溶性磷酸盐如磷酸氢二铵、磷酸三钠等与游离钙镁离子反应来提高浓缩胶乳的机械稳</w:t>
      </w:r>
      <w:r>
        <w:rPr>
          <w:rFonts w:ascii="宋体" w:hAnsi="宋体" w:hint="eastAsia"/>
          <w:sz w:val="24"/>
        </w:rPr>
        <w:lastRenderedPageBreak/>
        <w:t>定性。另外，磷酸盐也来自胶乳本身存在的磷脂的水解。然而，过量的磷酸盐也会降低胶乳的稳定性。</w:t>
      </w:r>
    </w:p>
    <w:p w:rsidR="0034634C" w:rsidRDefault="00F750F8">
      <w:pPr>
        <w:spacing w:line="360" w:lineRule="auto"/>
        <w:ind w:firstLineChars="200" w:firstLine="480"/>
        <w:rPr>
          <w:rFonts w:ascii="宋体" w:hAnsi="宋体"/>
          <w:sz w:val="24"/>
        </w:rPr>
      </w:pPr>
      <w:r>
        <w:rPr>
          <w:rFonts w:ascii="宋体" w:hAnsi="宋体" w:hint="eastAsia"/>
          <w:sz w:val="24"/>
        </w:rPr>
        <w:t>国际标准化组织于2015年首次制定ISO 19043《浓缩天然胶乳 总磷酸盐含量的测定 分光光度法》，通过使用分光光度法，使浓缩天然胶乳中总磷酸盐含量能简单且快速测定。通过采用ISO 19043：2015制定相应的国家标准，将有利于浓缩天然胶乳加工工艺和产品质量控制，对天然橡胶加工科技进步也有积极意义。</w:t>
      </w:r>
    </w:p>
    <w:p w:rsidR="0034634C" w:rsidRDefault="00F750F8">
      <w:pPr>
        <w:spacing w:line="360" w:lineRule="auto"/>
        <w:rPr>
          <w:rFonts w:ascii="黑体" w:eastAsia="黑体" w:hAnsi="黑体"/>
          <w:bCs/>
          <w:sz w:val="24"/>
        </w:rPr>
      </w:pPr>
      <w:r>
        <w:rPr>
          <w:rFonts w:ascii="黑体" w:eastAsia="黑体" w:hAnsi="黑体" w:hint="eastAsia"/>
          <w:bCs/>
          <w:sz w:val="24"/>
        </w:rPr>
        <w:t>1.3 主要工作过程</w:t>
      </w:r>
    </w:p>
    <w:p w:rsidR="0034634C" w:rsidRDefault="00F750F8">
      <w:pPr>
        <w:spacing w:line="360" w:lineRule="auto"/>
        <w:ind w:firstLineChars="200" w:firstLine="480"/>
        <w:rPr>
          <w:rFonts w:hAnsi="宋体"/>
          <w:sz w:val="24"/>
        </w:rPr>
      </w:pPr>
      <w:r>
        <w:rPr>
          <w:rFonts w:ascii="宋体" w:hAnsi="宋体"/>
          <w:sz w:val="24"/>
        </w:rPr>
        <w:t>201</w:t>
      </w:r>
      <w:r>
        <w:rPr>
          <w:rFonts w:ascii="宋体" w:hAnsi="宋体" w:hint="eastAsia"/>
          <w:sz w:val="24"/>
        </w:rPr>
        <w:t>8</w:t>
      </w:r>
      <w:r>
        <w:rPr>
          <w:rFonts w:ascii="宋体" w:hAnsi="宋体"/>
          <w:sz w:val="24"/>
        </w:rPr>
        <w:t>年</w:t>
      </w:r>
      <w:r>
        <w:rPr>
          <w:rFonts w:ascii="宋体" w:hAnsi="宋体" w:hint="eastAsia"/>
          <w:sz w:val="24"/>
        </w:rPr>
        <w:t>3</w:t>
      </w:r>
      <w:r>
        <w:rPr>
          <w:rFonts w:ascii="宋体" w:hAnsi="宋体"/>
          <w:sz w:val="24"/>
        </w:rPr>
        <w:t>月，在国家标准</w:t>
      </w:r>
      <w:r>
        <w:rPr>
          <w:rFonts w:ascii="宋体" w:hAnsi="宋体" w:hint="eastAsia"/>
          <w:sz w:val="24"/>
        </w:rPr>
        <w:t>修订</w:t>
      </w:r>
      <w:r>
        <w:rPr>
          <w:rFonts w:ascii="宋体" w:hAnsi="宋体"/>
          <w:sz w:val="24"/>
        </w:rPr>
        <w:t>项目计划下达后，成立了标准</w:t>
      </w:r>
      <w:r>
        <w:rPr>
          <w:rFonts w:ascii="宋体" w:hAnsi="宋体" w:hint="eastAsia"/>
          <w:sz w:val="24"/>
        </w:rPr>
        <w:t>修订</w:t>
      </w:r>
      <w:r>
        <w:rPr>
          <w:rFonts w:ascii="宋体" w:hAnsi="宋体"/>
          <w:sz w:val="24"/>
        </w:rPr>
        <w:t>小组，拟定工作</w:t>
      </w:r>
      <w:r>
        <w:rPr>
          <w:rFonts w:hAnsi="宋体"/>
          <w:sz w:val="24"/>
        </w:rPr>
        <w:t>大纲，进行任务分工。</w:t>
      </w:r>
    </w:p>
    <w:p w:rsidR="0034634C" w:rsidRDefault="00F750F8">
      <w:pPr>
        <w:tabs>
          <w:tab w:val="left" w:pos="6120"/>
        </w:tabs>
        <w:spacing w:line="360" w:lineRule="auto"/>
        <w:ind w:firstLineChars="200" w:firstLine="480"/>
        <w:rPr>
          <w:color w:val="000000" w:themeColor="text1"/>
          <w:sz w:val="24"/>
        </w:rPr>
      </w:pPr>
      <w:r>
        <w:rPr>
          <w:rFonts w:hint="eastAsia"/>
          <w:sz w:val="24"/>
        </w:rPr>
        <w:t>为了做好采用国际标准</w:t>
      </w:r>
      <w:r>
        <w:rPr>
          <w:rFonts w:ascii="宋体" w:hAnsi="宋体" w:hint="eastAsia"/>
          <w:sz w:val="24"/>
        </w:rPr>
        <w:t>ISO 19043：2015</w:t>
      </w:r>
      <w:r>
        <w:rPr>
          <w:rFonts w:hint="eastAsia"/>
          <w:sz w:val="24"/>
        </w:rPr>
        <w:t>制定国家标准《</w:t>
      </w:r>
      <w:r>
        <w:rPr>
          <w:rFonts w:ascii="宋体" w:hAnsi="宋体" w:hint="eastAsia"/>
          <w:sz w:val="24"/>
        </w:rPr>
        <w:t>浓缩天然胶乳 总磷酸盐含量的测定 分光光度法</w:t>
      </w:r>
      <w:r>
        <w:rPr>
          <w:rFonts w:hint="eastAsia"/>
          <w:sz w:val="24"/>
        </w:rPr>
        <w:t>》的工作，标准制定工作小组专门针对总磷酸盐含量对浓缩天然胶乳加工工艺及性能的影响</w:t>
      </w:r>
      <w:r>
        <w:rPr>
          <w:rFonts w:ascii="宋体" w:hAnsi="宋体"/>
          <w:sz w:val="24"/>
        </w:rPr>
        <w:t>，深入生产单位考察、调研，了解</w:t>
      </w:r>
      <w:r>
        <w:rPr>
          <w:rFonts w:ascii="宋体" w:hAnsi="宋体" w:hint="eastAsia"/>
          <w:sz w:val="24"/>
        </w:rPr>
        <w:t>浓缩天然胶乳总磷酸盐含量的测定情况，</w:t>
      </w:r>
      <w:r>
        <w:rPr>
          <w:rFonts w:ascii="宋体" w:hAnsi="宋体"/>
          <w:sz w:val="24"/>
        </w:rPr>
        <w:t>还通过与</w:t>
      </w:r>
      <w:r>
        <w:rPr>
          <w:rFonts w:ascii="宋体" w:hAnsi="宋体" w:hint="eastAsia"/>
          <w:sz w:val="24"/>
        </w:rPr>
        <w:t>相关</w:t>
      </w:r>
      <w:r>
        <w:rPr>
          <w:rFonts w:ascii="宋体" w:hAnsi="宋体"/>
          <w:sz w:val="24"/>
        </w:rPr>
        <w:t>单位的技术人员和管理人员讨论标准修订的内容，听取</w:t>
      </w:r>
      <w:r>
        <w:rPr>
          <w:rFonts w:ascii="宋体" w:hAnsi="宋体" w:hint="eastAsia"/>
          <w:sz w:val="24"/>
        </w:rPr>
        <w:t>各单位</w:t>
      </w:r>
      <w:r>
        <w:rPr>
          <w:rFonts w:ascii="宋体" w:hAnsi="宋体"/>
          <w:sz w:val="24"/>
        </w:rPr>
        <w:t>的意见</w:t>
      </w:r>
      <w:r>
        <w:rPr>
          <w:rFonts w:ascii="宋体" w:hAnsi="宋体" w:hint="eastAsia"/>
          <w:sz w:val="24"/>
        </w:rPr>
        <w:t>。</w:t>
      </w:r>
      <w:r>
        <w:rPr>
          <w:rFonts w:hint="eastAsia"/>
          <w:sz w:val="24"/>
        </w:rPr>
        <w:t>调查结果表明，目前我国上游天然橡胶初加工企业尚未对</w:t>
      </w:r>
      <w:r>
        <w:rPr>
          <w:rFonts w:ascii="宋体" w:hAnsi="宋体" w:hint="eastAsia"/>
          <w:sz w:val="24"/>
        </w:rPr>
        <w:t>浓缩天然胶乳总磷酸盐含量</w:t>
      </w:r>
      <w:r>
        <w:rPr>
          <w:rFonts w:hint="eastAsia"/>
          <w:sz w:val="24"/>
        </w:rPr>
        <w:t>进行任何控制。大部分下游企业，特别是胶乳制品企业，都非常重视浓缩天然胶乳机械稳定性的控制，但对于机械稳定性与总磷酸盐含量之间的关系，则缺乏足够的了解。因此，并不清楚测定和控制总磷酸盐含量的实际意义。</w:t>
      </w:r>
    </w:p>
    <w:p w:rsidR="0034634C" w:rsidRDefault="00F750F8">
      <w:pPr>
        <w:spacing w:line="360" w:lineRule="auto"/>
        <w:ind w:firstLineChars="200" w:firstLine="480"/>
        <w:rPr>
          <w:rFonts w:ascii="宋体" w:hAnsi="宋体"/>
          <w:sz w:val="24"/>
        </w:rPr>
      </w:pPr>
      <w:r>
        <w:rPr>
          <w:rFonts w:ascii="宋体" w:hAnsi="宋体" w:hint="eastAsia"/>
          <w:sz w:val="24"/>
        </w:rPr>
        <w:t>针对采用ISO 19043：2015，全国橡标委天然橡胶分技术委员会秘书处组织开展了浓缩天然</w:t>
      </w:r>
      <w:r>
        <w:rPr>
          <w:rFonts w:ascii="宋体" w:hAnsi="宋体"/>
          <w:sz w:val="24"/>
        </w:rPr>
        <w:t>胶乳</w:t>
      </w:r>
      <w:r>
        <w:rPr>
          <w:rFonts w:ascii="宋体" w:hAnsi="宋体" w:hint="eastAsia"/>
          <w:sz w:val="24"/>
        </w:rPr>
        <w:t>总磷酸盐含量测定的验证试验（见2.2.2）。</w:t>
      </w:r>
    </w:p>
    <w:p w:rsidR="0034634C" w:rsidRDefault="00F750F8">
      <w:pPr>
        <w:spacing w:line="360" w:lineRule="auto"/>
        <w:ind w:firstLineChars="200" w:firstLine="480"/>
        <w:rPr>
          <w:rFonts w:ascii="宋体" w:hAnsi="宋体"/>
          <w:sz w:val="24"/>
        </w:rPr>
      </w:pPr>
      <w:r>
        <w:rPr>
          <w:rFonts w:ascii="宋体" w:hAnsi="宋体"/>
          <w:sz w:val="24"/>
        </w:rPr>
        <w:t>在上述工作的基础上，经过综合分析，确定了本标准的征求意见稿</w:t>
      </w:r>
      <w:r>
        <w:rPr>
          <w:rFonts w:ascii="宋体" w:hAnsi="宋体" w:hint="eastAsia"/>
          <w:sz w:val="24"/>
        </w:rPr>
        <w:t>。</w:t>
      </w:r>
    </w:p>
    <w:p w:rsidR="0034634C" w:rsidRDefault="00F750F8">
      <w:pPr>
        <w:spacing w:line="360" w:lineRule="auto"/>
        <w:rPr>
          <w:rFonts w:ascii="黑体" w:eastAsia="黑体" w:hAnsi="黑体"/>
          <w:sz w:val="24"/>
        </w:rPr>
      </w:pPr>
      <w:r>
        <w:rPr>
          <w:rFonts w:ascii="黑体" w:eastAsia="黑体" w:hAnsi="黑体" w:hint="eastAsia"/>
          <w:sz w:val="24"/>
        </w:rPr>
        <w:t>2.1 标准编写原则</w:t>
      </w:r>
    </w:p>
    <w:p w:rsidR="0034634C" w:rsidRDefault="00F750F8">
      <w:pPr>
        <w:spacing w:line="360" w:lineRule="auto"/>
        <w:rPr>
          <w:rFonts w:ascii="宋体" w:hAnsi="宋体"/>
          <w:sz w:val="24"/>
        </w:rPr>
      </w:pPr>
      <w:r>
        <w:rPr>
          <w:rFonts w:ascii="黑体" w:eastAsia="黑体" w:hAnsi="黑体" w:hint="eastAsia"/>
          <w:sz w:val="24"/>
        </w:rPr>
        <w:t>2.1.1</w:t>
      </w:r>
      <w:r>
        <w:rPr>
          <w:rFonts w:ascii="宋体" w:hAnsi="宋体"/>
          <w:sz w:val="24"/>
        </w:rPr>
        <w:t>本标准按GB/T 1.1—2009《标准化工作导则 第１部分：标准的结构和编写规则》</w:t>
      </w:r>
      <w:r>
        <w:rPr>
          <w:rFonts w:ascii="宋体" w:hAnsi="宋体" w:hint="eastAsia"/>
          <w:sz w:val="24"/>
        </w:rPr>
        <w:t>和GB/T 20000.2-2009《标准化工作指南 第2部分：采用国际标准》</w:t>
      </w:r>
      <w:r>
        <w:rPr>
          <w:rFonts w:ascii="宋体" w:hAnsi="宋体"/>
          <w:sz w:val="24"/>
        </w:rPr>
        <w:t>给出的规则编制，使标准在结构、语言表述和编排格式上符合统一的要求。</w:t>
      </w:r>
    </w:p>
    <w:p w:rsidR="0034634C" w:rsidRDefault="00F750F8">
      <w:pPr>
        <w:spacing w:line="360" w:lineRule="auto"/>
        <w:rPr>
          <w:rFonts w:ascii="宋体" w:hAnsi="宋体"/>
          <w:sz w:val="24"/>
        </w:rPr>
      </w:pPr>
      <w:r>
        <w:rPr>
          <w:rFonts w:ascii="黑体" w:eastAsia="黑体" w:hAnsi="黑体" w:hint="eastAsia"/>
          <w:sz w:val="24"/>
        </w:rPr>
        <w:t>2.1.2</w:t>
      </w:r>
      <w:r>
        <w:rPr>
          <w:rFonts w:ascii="宋体" w:hAnsi="宋体"/>
          <w:sz w:val="24"/>
        </w:rPr>
        <w:t>根据</w:t>
      </w:r>
      <w:r>
        <w:rPr>
          <w:rFonts w:ascii="宋体" w:hAnsi="宋体" w:hint="eastAsia"/>
          <w:sz w:val="24"/>
        </w:rPr>
        <w:t>我国天然胶乳检验方法</w:t>
      </w:r>
      <w:r>
        <w:rPr>
          <w:rFonts w:ascii="宋体" w:hAnsi="宋体"/>
          <w:sz w:val="24"/>
        </w:rPr>
        <w:t>的技术要求以及当前技术水平，遵循科学性、合理性、经济性和可操作性的原则，对原标准的技术内容进行了修订。</w:t>
      </w:r>
    </w:p>
    <w:p w:rsidR="0034634C" w:rsidRDefault="00F750F8">
      <w:pPr>
        <w:spacing w:line="360" w:lineRule="auto"/>
        <w:rPr>
          <w:rFonts w:ascii="宋体" w:hAnsi="宋体"/>
          <w:sz w:val="24"/>
        </w:rPr>
      </w:pPr>
      <w:r>
        <w:rPr>
          <w:rFonts w:ascii="黑体" w:eastAsia="黑体" w:hAnsi="黑体" w:hint="eastAsia"/>
          <w:sz w:val="24"/>
        </w:rPr>
        <w:t>2.1.3</w:t>
      </w:r>
      <w:r>
        <w:rPr>
          <w:rFonts w:ascii="宋体" w:hAnsi="宋体"/>
          <w:sz w:val="24"/>
        </w:rPr>
        <w:t>在标准的名称、技术要求结构和内容、用语等方面与</w:t>
      </w:r>
      <w:r>
        <w:rPr>
          <w:rFonts w:hAnsi="宋体" w:hint="eastAsia"/>
          <w:sz w:val="24"/>
        </w:rPr>
        <w:t>橡胶和橡胶制品标准体系（特别是</w:t>
      </w:r>
      <w:r>
        <w:rPr>
          <w:rFonts w:hAnsi="宋体"/>
          <w:sz w:val="24"/>
        </w:rPr>
        <w:t>天然橡胶系列标准</w:t>
      </w:r>
      <w:r>
        <w:rPr>
          <w:rFonts w:hAnsi="宋体" w:hint="eastAsia"/>
          <w:sz w:val="24"/>
        </w:rPr>
        <w:t>）</w:t>
      </w:r>
      <w:r>
        <w:rPr>
          <w:rFonts w:ascii="宋体" w:hAnsi="宋体"/>
          <w:sz w:val="24"/>
        </w:rPr>
        <w:t>保持一致。</w:t>
      </w:r>
    </w:p>
    <w:p w:rsidR="0034634C" w:rsidRDefault="00F750F8">
      <w:pPr>
        <w:numPr>
          <w:ilvl w:val="1"/>
          <w:numId w:val="2"/>
        </w:numPr>
        <w:spacing w:line="360" w:lineRule="auto"/>
        <w:rPr>
          <w:rFonts w:ascii="黑体" w:eastAsia="黑体" w:hAnsi="黑体"/>
          <w:sz w:val="24"/>
        </w:rPr>
      </w:pPr>
      <w:r>
        <w:rPr>
          <w:rFonts w:ascii="黑体" w:eastAsia="黑体" w:hAnsi="黑体" w:hint="eastAsia"/>
          <w:sz w:val="24"/>
        </w:rPr>
        <w:t>标准中主要修订技术内容的确定</w:t>
      </w:r>
    </w:p>
    <w:p w:rsidR="0034634C" w:rsidRDefault="00F750F8">
      <w:pPr>
        <w:pStyle w:val="ab"/>
        <w:numPr>
          <w:ilvl w:val="2"/>
          <w:numId w:val="2"/>
        </w:numPr>
        <w:spacing w:line="360" w:lineRule="auto"/>
        <w:ind w:firstLineChars="0"/>
        <w:rPr>
          <w:rFonts w:ascii="黑体" w:eastAsia="黑体" w:hAnsi="黑体"/>
          <w:sz w:val="24"/>
        </w:rPr>
      </w:pPr>
      <w:r>
        <w:rPr>
          <w:rFonts w:ascii="黑体" w:eastAsia="黑体" w:hAnsi="黑体" w:hint="eastAsia"/>
          <w:sz w:val="24"/>
        </w:rPr>
        <w:lastRenderedPageBreak/>
        <w:t>关于本标准修改采用</w:t>
      </w:r>
      <w:r>
        <w:rPr>
          <w:rFonts w:ascii="宋体" w:hAnsi="宋体" w:hint="eastAsia"/>
          <w:sz w:val="24"/>
        </w:rPr>
        <w:t>ISO 19043：2015</w:t>
      </w:r>
      <w:r>
        <w:rPr>
          <w:rFonts w:ascii="黑体" w:eastAsia="黑体" w:hAnsi="黑体" w:hint="eastAsia"/>
          <w:sz w:val="24"/>
        </w:rPr>
        <w:t>的说明</w:t>
      </w:r>
    </w:p>
    <w:p w:rsidR="0034634C" w:rsidRDefault="00F750F8">
      <w:pPr>
        <w:pStyle w:val="ab"/>
        <w:spacing w:line="360" w:lineRule="auto"/>
        <w:ind w:firstLineChars="150" w:firstLine="360"/>
        <w:rPr>
          <w:rFonts w:ascii="宋体" w:hAnsi="宋体"/>
          <w:sz w:val="24"/>
        </w:rPr>
      </w:pPr>
      <w:bookmarkStart w:id="0" w:name="OLE_LINK4"/>
      <w:r>
        <w:rPr>
          <w:rFonts w:ascii="宋体" w:hAnsi="宋体" w:hint="eastAsia"/>
          <w:sz w:val="24"/>
        </w:rPr>
        <w:t>本标准与ISO 19043：2015的技术差异及其原因如下：</w:t>
      </w:r>
    </w:p>
    <w:bookmarkEnd w:id="0"/>
    <w:p w:rsidR="0034634C" w:rsidRDefault="00F750F8">
      <w:pPr>
        <w:pStyle w:val="ab"/>
        <w:spacing w:line="360" w:lineRule="auto"/>
        <w:ind w:firstLineChars="150" w:firstLine="360"/>
        <w:rPr>
          <w:rFonts w:ascii="宋体" w:hAnsi="宋体"/>
          <w:sz w:val="24"/>
        </w:rPr>
      </w:pPr>
      <w:r>
        <w:rPr>
          <w:rFonts w:ascii="宋体" w:hAnsi="宋体" w:hint="eastAsia"/>
          <w:sz w:val="24"/>
        </w:rPr>
        <w:t>（1）关于规范性引用文件，本标准做了具有技术差异的调整，以适应我国的技术条件。调整的情况集中反映在第2章“规范性引用文件”中，具体调整如下：</w:t>
      </w:r>
    </w:p>
    <w:p w:rsidR="0034634C" w:rsidRDefault="00F750F8">
      <w:pPr>
        <w:pStyle w:val="ab"/>
        <w:spacing w:line="360" w:lineRule="auto"/>
        <w:ind w:firstLineChars="150" w:firstLine="360"/>
        <w:rPr>
          <w:rFonts w:ascii="宋体" w:hAnsi="宋体"/>
          <w:sz w:val="24"/>
        </w:rPr>
      </w:pPr>
      <w:r>
        <w:rPr>
          <w:rFonts w:ascii="宋体" w:hAnsi="宋体" w:hint="eastAsia"/>
          <w:sz w:val="24"/>
        </w:rPr>
        <w:t>·用修改采用国际标准的</w:t>
      </w:r>
      <w:r>
        <w:rPr>
          <w:rFonts w:ascii="宋体" w:hAnsi="宋体"/>
          <w:sz w:val="24"/>
        </w:rPr>
        <w:t>GB/T 829</w:t>
      </w:r>
      <w:r>
        <w:rPr>
          <w:rFonts w:ascii="宋体" w:hAnsi="宋体" w:hint="eastAsia"/>
          <w:sz w:val="24"/>
        </w:rPr>
        <w:t>8代替了</w:t>
      </w:r>
      <w:r>
        <w:rPr>
          <w:rFonts w:ascii="宋体" w:hAnsi="宋体"/>
          <w:sz w:val="24"/>
        </w:rPr>
        <w:t>ISO 12</w:t>
      </w:r>
      <w:r>
        <w:rPr>
          <w:rFonts w:ascii="宋体" w:hAnsi="宋体" w:hint="eastAsia"/>
          <w:sz w:val="24"/>
        </w:rPr>
        <w:t>4（见6.2）；</w:t>
      </w:r>
    </w:p>
    <w:p w:rsidR="0034634C" w:rsidRDefault="00F750F8">
      <w:pPr>
        <w:pStyle w:val="ab"/>
        <w:spacing w:line="360" w:lineRule="auto"/>
        <w:ind w:firstLineChars="150" w:firstLine="360"/>
        <w:rPr>
          <w:rFonts w:ascii="宋体" w:hAnsi="宋体"/>
          <w:sz w:val="24"/>
        </w:rPr>
      </w:pPr>
      <w:r>
        <w:rPr>
          <w:rFonts w:ascii="宋体" w:hAnsi="宋体" w:hint="eastAsia"/>
          <w:sz w:val="24"/>
        </w:rPr>
        <w:t>·用</w:t>
      </w:r>
      <w:r>
        <w:rPr>
          <w:rFonts w:ascii="宋体" w:hAnsi="宋体"/>
          <w:sz w:val="24"/>
        </w:rPr>
        <w:t>GB/T12808</w:t>
      </w:r>
      <w:r>
        <w:rPr>
          <w:rFonts w:ascii="宋体" w:hAnsi="宋体" w:hint="eastAsia"/>
          <w:sz w:val="24"/>
        </w:rPr>
        <w:t>代替了</w:t>
      </w:r>
      <w:r>
        <w:rPr>
          <w:rFonts w:ascii="宋体" w:hAnsi="宋体"/>
          <w:sz w:val="24"/>
        </w:rPr>
        <w:t xml:space="preserve">ISO </w:t>
      </w:r>
      <w:r>
        <w:rPr>
          <w:rFonts w:ascii="宋体" w:hAnsi="宋体" w:hint="eastAsia"/>
          <w:sz w:val="24"/>
        </w:rPr>
        <w:t>648（见4.2）；</w:t>
      </w:r>
    </w:p>
    <w:p w:rsidR="0034634C" w:rsidRDefault="00F750F8">
      <w:pPr>
        <w:pStyle w:val="ab"/>
        <w:spacing w:line="360" w:lineRule="auto"/>
        <w:ind w:firstLineChars="150" w:firstLine="360"/>
        <w:rPr>
          <w:rFonts w:ascii="宋体" w:hAnsi="宋体"/>
          <w:sz w:val="24"/>
        </w:rPr>
      </w:pPr>
      <w:r>
        <w:rPr>
          <w:rFonts w:ascii="宋体" w:hAnsi="宋体" w:hint="eastAsia"/>
          <w:sz w:val="24"/>
        </w:rPr>
        <w:t>（2）增加了“磷酸二氢钾（贮备溶液）可直接购买”（见5.4），因该试剂有市售产品；</w:t>
      </w:r>
    </w:p>
    <w:p w:rsidR="0034634C" w:rsidRDefault="00F750F8">
      <w:pPr>
        <w:pStyle w:val="ab"/>
        <w:spacing w:line="360" w:lineRule="auto"/>
        <w:ind w:firstLineChars="150" w:firstLine="360"/>
        <w:rPr>
          <w:rFonts w:ascii="宋体" w:hAnsi="宋体"/>
          <w:sz w:val="24"/>
        </w:rPr>
      </w:pPr>
      <w:r>
        <w:rPr>
          <w:rFonts w:ascii="宋体" w:hAnsi="宋体" w:hint="eastAsia"/>
          <w:sz w:val="24"/>
        </w:rPr>
        <w:t>（3）将“用HCl溶液（5.1）稀释至50cm</w:t>
      </w:r>
      <w:r>
        <w:rPr>
          <w:rFonts w:ascii="宋体" w:hAnsi="宋体" w:hint="eastAsia"/>
          <w:sz w:val="24"/>
          <w:vertAlign w:val="superscript"/>
        </w:rPr>
        <w:t>3</w:t>
      </w:r>
      <w:r>
        <w:rPr>
          <w:rFonts w:ascii="宋体" w:hAnsi="宋体" w:hint="eastAsia"/>
          <w:sz w:val="24"/>
        </w:rPr>
        <w:t>”改为“用HCl溶液（5.2）稀释至50cm</w:t>
      </w:r>
      <w:r>
        <w:rPr>
          <w:rFonts w:ascii="宋体" w:hAnsi="宋体" w:hint="eastAsia"/>
          <w:sz w:val="24"/>
          <w:vertAlign w:val="superscript"/>
        </w:rPr>
        <w:t>3</w:t>
      </w:r>
      <w:r>
        <w:rPr>
          <w:rFonts w:ascii="宋体" w:hAnsi="宋体" w:hint="eastAsia"/>
          <w:sz w:val="24"/>
        </w:rPr>
        <w:t>”（见6.4，ISO 19043:2015的6.4），以保持跟6.3中标准磷酸盐溶液配制方法一致。</w:t>
      </w:r>
    </w:p>
    <w:p w:rsidR="0034634C" w:rsidRDefault="00F750F8">
      <w:pPr>
        <w:pStyle w:val="ab"/>
        <w:spacing w:line="360" w:lineRule="auto"/>
        <w:ind w:firstLineChars="150" w:firstLine="360"/>
        <w:rPr>
          <w:rFonts w:ascii="宋体" w:hAnsi="宋体"/>
          <w:sz w:val="24"/>
        </w:rPr>
      </w:pPr>
      <w:r>
        <w:rPr>
          <w:rFonts w:ascii="宋体" w:hAnsi="宋体" w:hint="eastAsia"/>
          <w:sz w:val="24"/>
        </w:rPr>
        <w:t>（4）将“然后加入10mL钒钼酸盐（5.2）” 改为“然后加入10mL钒钼酸盐（5.3）（见6.4，ISO 19043:2015的6.4），以更正条编号；</w:t>
      </w:r>
    </w:p>
    <w:p w:rsidR="0034634C" w:rsidRDefault="00F750F8">
      <w:pPr>
        <w:pStyle w:val="ab"/>
        <w:spacing w:line="360" w:lineRule="auto"/>
        <w:ind w:firstLineChars="150" w:firstLine="360"/>
        <w:rPr>
          <w:rFonts w:ascii="宋体" w:hAnsi="宋体"/>
          <w:sz w:val="24"/>
        </w:rPr>
      </w:pPr>
      <w:r>
        <w:rPr>
          <w:rFonts w:ascii="宋体" w:hAnsi="宋体" w:hint="eastAsia"/>
          <w:sz w:val="24"/>
        </w:rPr>
        <w:t>（5）将“ppm”改为“mg/kg”,以使用法定计量单位（见5.4和6.3，ISO 19043:2015的5.4和6.3）；</w:t>
      </w:r>
    </w:p>
    <w:p w:rsidR="0034634C" w:rsidRDefault="00F750F8">
      <w:pPr>
        <w:pStyle w:val="ab"/>
        <w:spacing w:line="360" w:lineRule="auto"/>
        <w:ind w:firstLineChars="150" w:firstLine="360"/>
        <w:rPr>
          <w:rFonts w:ascii="宋体" w:hAnsi="宋体"/>
          <w:sz w:val="24"/>
        </w:rPr>
      </w:pPr>
      <w:r>
        <w:rPr>
          <w:rFonts w:ascii="宋体" w:hAnsi="宋体" w:hint="eastAsia"/>
          <w:sz w:val="24"/>
        </w:rPr>
        <w:t>（6）修改了总磷酸盐含量计算公式表示方法（见第7章），以符合GB/T 1.1-2009的规定。</w:t>
      </w:r>
    </w:p>
    <w:p w:rsidR="0034634C" w:rsidRDefault="00F750F8">
      <w:pPr>
        <w:pStyle w:val="ab"/>
        <w:spacing w:line="360" w:lineRule="auto"/>
        <w:ind w:firstLineChars="150" w:firstLine="360"/>
        <w:rPr>
          <w:rFonts w:ascii="宋体" w:hAnsi="宋体"/>
          <w:sz w:val="24"/>
        </w:rPr>
      </w:pPr>
      <w:r>
        <w:rPr>
          <w:rFonts w:ascii="宋体" w:hAnsi="宋体" w:hint="eastAsia"/>
          <w:sz w:val="24"/>
        </w:rPr>
        <w:t xml:space="preserve"> 由于上述的技术差异，本标准因而修改采用ISO 19043：2015。</w:t>
      </w:r>
    </w:p>
    <w:p w:rsidR="0034634C" w:rsidRDefault="00F750F8">
      <w:pPr>
        <w:spacing w:line="360" w:lineRule="auto"/>
        <w:ind w:firstLineChars="200" w:firstLine="480"/>
        <w:rPr>
          <w:rFonts w:ascii="黑体" w:eastAsia="黑体" w:hAnsi="黑体" w:cs="黑体"/>
          <w:sz w:val="24"/>
        </w:rPr>
      </w:pPr>
      <w:r>
        <w:rPr>
          <w:rFonts w:ascii="黑体" w:eastAsia="黑体" w:hAnsi="黑体" w:cs="黑体" w:hint="eastAsia"/>
          <w:sz w:val="24"/>
        </w:rPr>
        <w:t>2.2.2 验证试验</w:t>
      </w:r>
    </w:p>
    <w:p w:rsidR="0034634C" w:rsidRDefault="00F750F8">
      <w:pPr>
        <w:spacing w:line="360" w:lineRule="auto"/>
        <w:ind w:firstLineChars="200" w:firstLine="480"/>
        <w:rPr>
          <w:rFonts w:ascii="宋体" w:hAnsi="宋体"/>
          <w:sz w:val="24"/>
        </w:rPr>
      </w:pPr>
      <w:r>
        <w:rPr>
          <w:rFonts w:ascii="宋体" w:hAnsi="宋体" w:hint="eastAsia"/>
          <w:sz w:val="24"/>
        </w:rPr>
        <w:t>参与单位有中国热带农业科学院农产品加工研究所（实验室A）、海南省天然橡胶质量检验站（实验室B）、海南省产品质量监督检验所（实验室C）。按照修改采用ISO 19043：2015的技术要求，对样品</w:t>
      </w:r>
      <w:r>
        <w:rPr>
          <w:rFonts w:ascii="宋体" w:hAnsi="宋体"/>
          <w:sz w:val="24"/>
        </w:rPr>
        <w:t>1、样品2和样品3</w:t>
      </w:r>
      <w:r>
        <w:rPr>
          <w:rFonts w:ascii="宋体" w:hAnsi="宋体" w:hint="eastAsia"/>
          <w:sz w:val="24"/>
        </w:rPr>
        <w:t>的总磷酸盐含量（mg/kg）进行测定，每个样品重复3次试验、每次试验结果以双份平行测定结果平均值计，结果见表1。为了便于比较，将计算所得的结果平均值（</w:t>
      </w:r>
      <w:r w:rsidR="0034634C" w:rsidRPr="0034634C">
        <w:rPr>
          <w:rFonts w:asciiTheme="minorEastAsia" w:hAnsiTheme="minorEastAsia"/>
          <w:position w:val="-6"/>
          <w:sz w:val="24"/>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1.65pt" o:ole="">
            <v:imagedata r:id="rId8" o:title=""/>
          </v:shape>
          <o:OLEObject Type="Embed" ProgID="Equation.3" ShapeID="_x0000_i1025" DrawAspect="Content" ObjectID="_1632771368" r:id="rId9"/>
        </w:object>
      </w:r>
      <w:r>
        <w:rPr>
          <w:rFonts w:ascii="宋体" w:hAnsi="宋体" w:hint="eastAsia"/>
          <w:sz w:val="24"/>
        </w:rPr>
        <w:t>）</w:t>
      </w:r>
      <w:r w:rsidR="002255FB">
        <w:rPr>
          <w:rFonts w:ascii="宋体" w:hAnsi="宋体" w:hint="eastAsia"/>
          <w:sz w:val="24"/>
        </w:rPr>
        <w:t>以及本次验证试验的</w:t>
      </w:r>
      <w:r>
        <w:rPr>
          <w:rFonts w:ascii="宋体" w:hAnsi="宋体" w:hint="eastAsia"/>
          <w:sz w:val="24"/>
        </w:rPr>
        <w:t>实验室内标准差（</w:t>
      </w:r>
      <w:r>
        <w:rPr>
          <w:rFonts w:ascii="宋体" w:hAnsi="宋体" w:hint="eastAsia"/>
          <w:i/>
          <w:sz w:val="24"/>
        </w:rPr>
        <w:t>S</w:t>
      </w:r>
      <w:r>
        <w:rPr>
          <w:rFonts w:ascii="宋体" w:hAnsi="宋体" w:hint="eastAsia"/>
          <w:sz w:val="24"/>
          <w:vertAlign w:val="subscript"/>
        </w:rPr>
        <w:t>r</w:t>
      </w:r>
      <w:r>
        <w:rPr>
          <w:rFonts w:ascii="宋体" w:hAnsi="宋体" w:hint="eastAsia"/>
          <w:sz w:val="24"/>
        </w:rPr>
        <w:t>）、实验室间标准差（</w:t>
      </w:r>
      <w:r>
        <w:rPr>
          <w:rFonts w:ascii="宋体" w:hAnsi="宋体" w:hint="eastAsia"/>
          <w:i/>
          <w:sz w:val="24"/>
        </w:rPr>
        <w:t>S</w:t>
      </w:r>
      <w:r>
        <w:rPr>
          <w:rFonts w:ascii="宋体" w:hAnsi="宋体" w:hint="eastAsia"/>
          <w:sz w:val="24"/>
          <w:vertAlign w:val="subscript"/>
        </w:rPr>
        <w:t>R</w:t>
      </w:r>
      <w:r>
        <w:rPr>
          <w:rFonts w:ascii="宋体" w:hAnsi="宋体" w:hint="eastAsia"/>
          <w:sz w:val="24"/>
        </w:rPr>
        <w:t>）、重复性估算值（</w:t>
      </w:r>
      <w:r>
        <w:rPr>
          <w:rFonts w:ascii="宋体" w:hAnsi="宋体" w:hint="eastAsia"/>
          <w:i/>
          <w:sz w:val="24"/>
        </w:rPr>
        <w:t>r</w:t>
      </w:r>
      <w:r>
        <w:rPr>
          <w:rFonts w:ascii="宋体" w:hAnsi="宋体" w:hint="eastAsia"/>
          <w:sz w:val="24"/>
        </w:rPr>
        <w:t>）和再现性估算值（</w:t>
      </w:r>
      <w:r>
        <w:rPr>
          <w:rFonts w:ascii="宋体" w:hAnsi="宋体" w:hint="eastAsia"/>
          <w:i/>
          <w:sz w:val="24"/>
        </w:rPr>
        <w:t>R</w:t>
      </w:r>
      <w:r>
        <w:rPr>
          <w:rFonts w:ascii="宋体" w:hAnsi="宋体" w:hint="eastAsia"/>
          <w:sz w:val="24"/>
        </w:rPr>
        <w:t>）、相对重复性(（r））、相对再现性（（R））也列于表1中。因实验样品磷含量的平均值无法与</w:t>
      </w:r>
      <w:r w:rsidR="002255FB">
        <w:rPr>
          <w:rFonts w:ascii="宋体" w:hAnsi="宋体" w:hint="eastAsia"/>
          <w:sz w:val="24"/>
        </w:rPr>
        <w:t>ISO</w:t>
      </w:r>
      <w:r w:rsidR="002255FB">
        <w:rPr>
          <w:rFonts w:ascii="宋体" w:hAnsi="宋体" w:hint="eastAsia"/>
          <w:sz w:val="24"/>
        </w:rPr>
        <w:t>19043：2015</w:t>
      </w:r>
      <w:r w:rsidR="002255FB">
        <w:rPr>
          <w:rFonts w:ascii="宋体" w:hAnsi="宋体" w:hint="eastAsia"/>
          <w:sz w:val="24"/>
        </w:rPr>
        <w:t>中</w:t>
      </w:r>
      <w:r>
        <w:rPr>
          <w:rFonts w:ascii="宋体" w:hAnsi="宋体" w:hint="eastAsia"/>
          <w:sz w:val="24"/>
        </w:rPr>
        <w:t>表A.1样品磷含量平均值一致，所以无法用重复性和再现性来确定此方法是否达到ISO 19043：2015中的要求，应用相对重复性和相对再现性来体现。结果显示，测定方法的相对重复性和相对再现性都达到了ISO 19043：2015中的要求。</w:t>
      </w:r>
    </w:p>
    <w:p w:rsidR="0034634C" w:rsidRDefault="0034634C">
      <w:pPr>
        <w:spacing w:line="360" w:lineRule="auto"/>
        <w:ind w:firstLineChars="200" w:firstLine="480"/>
        <w:rPr>
          <w:rFonts w:ascii="宋体" w:hAnsi="宋体"/>
          <w:sz w:val="24"/>
        </w:rPr>
      </w:pPr>
    </w:p>
    <w:p w:rsidR="0034634C" w:rsidRDefault="00F750F8">
      <w:pPr>
        <w:spacing w:line="360" w:lineRule="auto"/>
        <w:ind w:firstLineChars="200" w:firstLine="480"/>
        <w:jc w:val="center"/>
        <w:rPr>
          <w:rFonts w:ascii="宋体" w:hAnsi="宋体"/>
          <w:sz w:val="24"/>
        </w:rPr>
      </w:pPr>
      <w:r>
        <w:rPr>
          <w:rFonts w:ascii="宋体" w:hAnsi="宋体" w:hint="eastAsia"/>
          <w:sz w:val="24"/>
        </w:rPr>
        <w:lastRenderedPageBreak/>
        <w:t>表1 磷含量测定验证试验结果</w:t>
      </w:r>
    </w:p>
    <w:tbl>
      <w:tblPr>
        <w:tblStyle w:val="aa"/>
        <w:tblW w:w="7781" w:type="dxa"/>
        <w:jc w:val="center"/>
        <w:tblLayout w:type="fixed"/>
        <w:tblLook w:val="04A0"/>
      </w:tblPr>
      <w:tblGrid>
        <w:gridCol w:w="1547"/>
        <w:gridCol w:w="1547"/>
        <w:gridCol w:w="1548"/>
        <w:gridCol w:w="1548"/>
        <w:gridCol w:w="1591"/>
      </w:tblGrid>
      <w:tr w:rsidR="0034634C">
        <w:trPr>
          <w:jc w:val="center"/>
        </w:trPr>
        <w:tc>
          <w:tcPr>
            <w:tcW w:w="1547" w:type="dxa"/>
            <w:vAlign w:val="center"/>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样品</w:t>
            </w:r>
          </w:p>
        </w:tc>
        <w:tc>
          <w:tcPr>
            <w:tcW w:w="1547" w:type="dxa"/>
            <w:vAlign w:val="center"/>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测定次数</w:t>
            </w:r>
          </w:p>
        </w:tc>
        <w:tc>
          <w:tcPr>
            <w:tcW w:w="1548" w:type="dxa"/>
            <w:vAlign w:val="center"/>
          </w:tcPr>
          <w:p w:rsidR="0034634C" w:rsidRDefault="00F750F8">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实验室A</w:t>
            </w:r>
          </w:p>
          <w:p w:rsidR="0034634C" w:rsidRDefault="00F750F8">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平均值</w:t>
            </w:r>
          </w:p>
        </w:tc>
        <w:tc>
          <w:tcPr>
            <w:tcW w:w="1548" w:type="dxa"/>
            <w:vAlign w:val="center"/>
          </w:tcPr>
          <w:p w:rsidR="0034634C" w:rsidRDefault="00F750F8">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实验室B</w:t>
            </w:r>
          </w:p>
          <w:p w:rsidR="0034634C" w:rsidRDefault="00F750F8">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平均值</w:t>
            </w:r>
          </w:p>
        </w:tc>
        <w:tc>
          <w:tcPr>
            <w:tcW w:w="1591" w:type="dxa"/>
            <w:vAlign w:val="center"/>
          </w:tcPr>
          <w:p w:rsidR="0034634C" w:rsidRDefault="00F750F8">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实验室C</w:t>
            </w:r>
          </w:p>
          <w:p w:rsidR="0034634C" w:rsidRDefault="00F750F8">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平均值</w:t>
            </w:r>
          </w:p>
        </w:tc>
      </w:tr>
      <w:tr w:rsidR="0034634C">
        <w:trPr>
          <w:trHeight w:val="468"/>
          <w:jc w:val="center"/>
        </w:trPr>
        <w:tc>
          <w:tcPr>
            <w:tcW w:w="1547" w:type="dxa"/>
            <w:vMerge w:val="restart"/>
            <w:vAlign w:val="center"/>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样品1</w:t>
            </w:r>
          </w:p>
        </w:tc>
        <w:tc>
          <w:tcPr>
            <w:tcW w:w="1547" w:type="dxa"/>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1548" w:type="dxa"/>
            <w:vAlign w:val="center"/>
          </w:tcPr>
          <w:p w:rsidR="0034634C" w:rsidRDefault="00F750F8" w:rsidP="0054647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168.5 </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15</w:t>
            </w:r>
            <w:r w:rsidR="00546478">
              <w:rPr>
                <w:rFonts w:ascii="宋体" w:hAnsi="宋体" w:cs="宋体" w:hint="eastAsia"/>
                <w:color w:val="000000"/>
                <w:kern w:val="0"/>
                <w:sz w:val="24"/>
              </w:rPr>
              <w:t>2.0</w:t>
            </w:r>
            <w:r>
              <w:rPr>
                <w:rFonts w:ascii="宋体" w:hAnsi="宋体" w:cs="宋体" w:hint="eastAsia"/>
                <w:color w:val="000000"/>
                <w:kern w:val="0"/>
                <w:sz w:val="24"/>
              </w:rPr>
              <w:t xml:space="preserve"> </w:t>
            </w:r>
          </w:p>
        </w:tc>
        <w:tc>
          <w:tcPr>
            <w:tcW w:w="1591" w:type="dxa"/>
            <w:vAlign w:val="center"/>
          </w:tcPr>
          <w:p w:rsidR="0034634C" w:rsidRDefault="00F750F8" w:rsidP="00A8612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138.1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1548" w:type="dxa"/>
            <w:vAlign w:val="center"/>
          </w:tcPr>
          <w:p w:rsidR="0034634C" w:rsidRDefault="00F750F8" w:rsidP="0054647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168.0 </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130.</w:t>
            </w:r>
            <w:r w:rsidR="00A86128">
              <w:rPr>
                <w:rFonts w:ascii="宋体" w:hAnsi="宋体" w:cs="宋体" w:hint="eastAsia"/>
                <w:color w:val="000000"/>
                <w:kern w:val="0"/>
                <w:sz w:val="24"/>
              </w:rPr>
              <w:t>3</w:t>
            </w:r>
          </w:p>
        </w:tc>
        <w:tc>
          <w:tcPr>
            <w:tcW w:w="1591"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122.</w:t>
            </w:r>
            <w:r w:rsidR="00A86128">
              <w:rPr>
                <w:rFonts w:ascii="宋体" w:hAnsi="宋体" w:cs="宋体" w:hint="eastAsia"/>
                <w:color w:val="000000"/>
                <w:kern w:val="0"/>
                <w:sz w:val="24"/>
              </w:rPr>
              <w:t>1</w:t>
            </w:r>
            <w:r>
              <w:rPr>
                <w:rFonts w:ascii="宋体" w:hAnsi="宋体" w:cs="宋体" w:hint="eastAsia"/>
                <w:color w:val="000000"/>
                <w:kern w:val="0"/>
                <w:sz w:val="24"/>
              </w:rPr>
              <w:t xml:space="preserve">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p>
        </w:tc>
        <w:tc>
          <w:tcPr>
            <w:tcW w:w="1548" w:type="dxa"/>
            <w:vAlign w:val="center"/>
          </w:tcPr>
          <w:p w:rsidR="0034634C" w:rsidRDefault="00F750F8" w:rsidP="0054647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158.0 </w:t>
            </w:r>
          </w:p>
        </w:tc>
        <w:tc>
          <w:tcPr>
            <w:tcW w:w="1548" w:type="dxa"/>
            <w:vAlign w:val="center"/>
          </w:tcPr>
          <w:p w:rsidR="0034634C" w:rsidRDefault="00F750F8" w:rsidP="0054647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153.0 </w:t>
            </w:r>
          </w:p>
        </w:tc>
        <w:tc>
          <w:tcPr>
            <w:tcW w:w="1591" w:type="dxa"/>
            <w:vAlign w:val="center"/>
          </w:tcPr>
          <w:p w:rsidR="0034634C" w:rsidRDefault="00F750F8" w:rsidP="00A8612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144.3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tcPr>
          <w:p w:rsidR="0034634C" w:rsidRDefault="0034634C">
            <w:pPr>
              <w:spacing w:line="360" w:lineRule="auto"/>
              <w:jc w:val="center"/>
              <w:rPr>
                <w:rFonts w:asciiTheme="minorEastAsia" w:eastAsiaTheme="minorEastAsia" w:hAnsiTheme="minorEastAsia" w:cstheme="minorEastAsia"/>
                <w:kern w:val="0"/>
                <w:sz w:val="24"/>
              </w:rPr>
            </w:pPr>
            <w:r w:rsidRPr="0034634C">
              <w:rPr>
                <w:rFonts w:asciiTheme="minorEastAsia" w:eastAsiaTheme="minorEastAsia" w:hAnsiTheme="minorEastAsia" w:cstheme="minorEastAsia" w:hint="eastAsia"/>
                <w:position w:val="-6"/>
                <w:sz w:val="24"/>
              </w:rPr>
              <w:object w:dxaOrig="180" w:dyaOrig="240">
                <v:shape id="_x0000_i1026" type="#_x0000_t75" style="width:9.15pt;height:11.65pt" o:ole="">
                  <v:imagedata r:id="rId8" o:title=""/>
                </v:shape>
                <o:OLEObject Type="Embed" ProgID="Equation.3" ShapeID="_x0000_i1026" DrawAspect="Content" ObjectID="_1632771369" r:id="rId10"/>
              </w:objec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164.</w:t>
            </w:r>
            <w:r w:rsidR="00546478">
              <w:rPr>
                <w:rFonts w:ascii="宋体" w:hAnsi="宋体" w:cs="宋体" w:hint="eastAsia"/>
                <w:color w:val="000000"/>
                <w:kern w:val="0"/>
                <w:sz w:val="24"/>
              </w:rPr>
              <w:t>8</w:t>
            </w:r>
            <w:r>
              <w:rPr>
                <w:rFonts w:ascii="宋体" w:hAnsi="宋体" w:cs="宋体" w:hint="eastAsia"/>
                <w:color w:val="000000"/>
                <w:kern w:val="0"/>
                <w:sz w:val="24"/>
              </w:rPr>
              <w:t xml:space="preserve"> </w:t>
            </w:r>
          </w:p>
        </w:tc>
        <w:tc>
          <w:tcPr>
            <w:tcW w:w="1548" w:type="dxa"/>
            <w:vAlign w:val="center"/>
          </w:tcPr>
          <w:p w:rsidR="0034634C" w:rsidRDefault="00F750F8" w:rsidP="00A8612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145.</w:t>
            </w:r>
            <w:r w:rsidR="00A86128">
              <w:rPr>
                <w:rFonts w:ascii="宋体" w:hAnsi="宋体" w:cs="宋体" w:hint="eastAsia"/>
                <w:color w:val="000000"/>
                <w:kern w:val="0"/>
                <w:sz w:val="24"/>
              </w:rPr>
              <w:t>1</w:t>
            </w:r>
            <w:r>
              <w:rPr>
                <w:rFonts w:ascii="宋体" w:hAnsi="宋体" w:cs="宋体" w:hint="eastAsia"/>
                <w:color w:val="000000"/>
                <w:kern w:val="0"/>
                <w:sz w:val="24"/>
              </w:rPr>
              <w:t xml:space="preserve"> </w:t>
            </w:r>
          </w:p>
        </w:tc>
        <w:tc>
          <w:tcPr>
            <w:tcW w:w="1591" w:type="dxa"/>
            <w:vAlign w:val="center"/>
          </w:tcPr>
          <w:p w:rsidR="0034634C" w:rsidRDefault="00F750F8" w:rsidP="00A8612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134.8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i/>
                <w:kern w:val="0"/>
                <w:sz w:val="24"/>
              </w:rPr>
              <w:t>S</w:t>
            </w:r>
            <w:r>
              <w:rPr>
                <w:rFonts w:asciiTheme="minorEastAsia" w:eastAsiaTheme="minorEastAsia" w:hAnsiTheme="minorEastAsia" w:cstheme="minorEastAsia" w:hint="eastAsia"/>
                <w:i/>
                <w:kern w:val="0"/>
                <w:sz w:val="24"/>
                <w:vertAlign w:val="subscript"/>
              </w:rPr>
              <w:t>r</w:t>
            </w:r>
          </w:p>
        </w:tc>
        <w:tc>
          <w:tcPr>
            <w:tcW w:w="1548" w:type="dxa"/>
            <w:vAlign w:val="center"/>
          </w:tcPr>
          <w:p w:rsidR="0034634C" w:rsidRDefault="00F750F8" w:rsidP="0054647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5.9 </w:t>
            </w:r>
          </w:p>
        </w:tc>
        <w:tc>
          <w:tcPr>
            <w:tcW w:w="1548" w:type="dxa"/>
            <w:vAlign w:val="center"/>
          </w:tcPr>
          <w:p w:rsidR="0034634C" w:rsidRDefault="00F750F8" w:rsidP="00BC638D">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12.8 </w:t>
            </w:r>
          </w:p>
        </w:tc>
        <w:tc>
          <w:tcPr>
            <w:tcW w:w="1591"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11.</w:t>
            </w:r>
            <w:r w:rsidR="00BC638D">
              <w:rPr>
                <w:rFonts w:ascii="宋体" w:hAnsi="宋体" w:cs="宋体" w:hint="eastAsia"/>
                <w:color w:val="000000"/>
                <w:kern w:val="0"/>
                <w:sz w:val="24"/>
              </w:rPr>
              <w:t>5</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i/>
                <w:iCs/>
                <w:kern w:val="0"/>
                <w:sz w:val="24"/>
              </w:rPr>
              <w:t>r</w:t>
            </w:r>
          </w:p>
        </w:tc>
        <w:tc>
          <w:tcPr>
            <w:tcW w:w="1548" w:type="dxa"/>
            <w:vAlign w:val="center"/>
          </w:tcPr>
          <w:p w:rsidR="0034634C" w:rsidRDefault="00F750F8" w:rsidP="00BC638D">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16.7 </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36.</w:t>
            </w:r>
            <w:r w:rsidR="00BC638D">
              <w:rPr>
                <w:rFonts w:ascii="宋体" w:hAnsi="宋体" w:cs="宋体" w:hint="eastAsia"/>
                <w:color w:val="000000"/>
                <w:kern w:val="0"/>
                <w:sz w:val="24"/>
              </w:rPr>
              <w:t>2</w:t>
            </w:r>
          </w:p>
        </w:tc>
        <w:tc>
          <w:tcPr>
            <w:tcW w:w="1591"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32.</w:t>
            </w:r>
            <w:r w:rsidR="00BC638D">
              <w:rPr>
                <w:rFonts w:ascii="宋体" w:hAnsi="宋体" w:cs="宋体" w:hint="eastAsia"/>
                <w:color w:val="000000"/>
                <w:kern w:val="0"/>
                <w:sz w:val="24"/>
              </w:rPr>
              <w:t>5</w:t>
            </w:r>
            <w:r>
              <w:rPr>
                <w:rFonts w:ascii="宋体" w:hAnsi="宋体" w:cs="宋体" w:hint="eastAsia"/>
                <w:color w:val="000000"/>
                <w:kern w:val="0"/>
                <w:sz w:val="24"/>
              </w:rPr>
              <w:t xml:space="preserve">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widowControl/>
              <w:jc w:val="center"/>
              <w:textAlignment w:val="center"/>
              <w:rPr>
                <w:rFonts w:asciiTheme="minorEastAsia" w:eastAsiaTheme="minorEastAsia" w:hAnsiTheme="minorEastAsia" w:cstheme="minorEastAsia"/>
                <w:i/>
                <w:iCs/>
                <w:kern w:val="0"/>
                <w:sz w:val="24"/>
              </w:rPr>
            </w:pPr>
            <w:r>
              <w:rPr>
                <w:rFonts w:ascii="宋体" w:hAnsi="宋体" w:cs="宋体" w:hint="eastAsia"/>
                <w:color w:val="000000"/>
                <w:kern w:val="0"/>
                <w:sz w:val="24"/>
              </w:rPr>
              <w:t>(r)</w:t>
            </w:r>
          </w:p>
        </w:tc>
        <w:tc>
          <w:tcPr>
            <w:tcW w:w="1548" w:type="dxa"/>
            <w:vAlign w:val="center"/>
          </w:tcPr>
          <w:p w:rsidR="0034634C" w:rsidRDefault="00F750F8" w:rsidP="00BC638D">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10.1</w:t>
            </w:r>
            <w:r w:rsidR="007332C3">
              <w:rPr>
                <w:rFonts w:ascii="宋体" w:hAnsi="宋体" w:cs="宋体" w:hint="eastAsia"/>
                <w:color w:val="000000"/>
                <w:kern w:val="0"/>
                <w:sz w:val="24"/>
              </w:rPr>
              <w:t>3</w:t>
            </w:r>
            <w:r>
              <w:rPr>
                <w:rFonts w:ascii="宋体" w:hAnsi="宋体" w:cs="宋体" w:hint="eastAsia"/>
                <w:color w:val="000000"/>
                <w:kern w:val="0"/>
                <w:sz w:val="24"/>
              </w:rPr>
              <w:t xml:space="preserve"> </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2</w:t>
            </w:r>
            <w:r w:rsidR="00BC638D">
              <w:rPr>
                <w:rFonts w:ascii="宋体" w:hAnsi="宋体" w:cs="宋体" w:hint="eastAsia"/>
                <w:color w:val="000000"/>
                <w:kern w:val="0"/>
                <w:sz w:val="24"/>
              </w:rPr>
              <w:t>4.9</w:t>
            </w:r>
            <w:r w:rsidR="007332C3">
              <w:rPr>
                <w:rFonts w:ascii="宋体" w:hAnsi="宋体" w:cs="宋体" w:hint="eastAsia"/>
                <w:color w:val="000000"/>
                <w:kern w:val="0"/>
                <w:sz w:val="24"/>
              </w:rPr>
              <w:t>5</w:t>
            </w:r>
          </w:p>
        </w:tc>
        <w:tc>
          <w:tcPr>
            <w:tcW w:w="1591" w:type="dxa"/>
            <w:vAlign w:val="center"/>
          </w:tcPr>
          <w:p w:rsidR="0034634C" w:rsidRDefault="00F750F8">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24.</w:t>
            </w:r>
            <w:r w:rsidR="00BC638D">
              <w:rPr>
                <w:rFonts w:ascii="宋体" w:hAnsi="宋体" w:cs="宋体" w:hint="eastAsia"/>
                <w:color w:val="000000"/>
                <w:kern w:val="0"/>
                <w:sz w:val="24"/>
              </w:rPr>
              <w:t>1</w:t>
            </w:r>
            <w:r w:rsidR="007332C3">
              <w:rPr>
                <w:rFonts w:ascii="宋体" w:hAnsi="宋体" w:cs="宋体" w:hint="eastAsia"/>
                <w:color w:val="000000"/>
                <w:kern w:val="0"/>
                <w:sz w:val="24"/>
              </w:rPr>
              <w:t>1</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i/>
                <w:iCs/>
                <w:kern w:val="0"/>
                <w:sz w:val="24"/>
              </w:rPr>
            </w:pPr>
            <w:r>
              <w:rPr>
                <w:rFonts w:asciiTheme="minorEastAsia" w:eastAsiaTheme="minorEastAsia" w:hAnsiTheme="minorEastAsia" w:cstheme="minorEastAsia" w:hint="eastAsia"/>
                <w:i/>
                <w:iCs/>
                <w:kern w:val="0"/>
                <w:sz w:val="24"/>
              </w:rPr>
              <w:t>S</w:t>
            </w:r>
            <w:r>
              <w:rPr>
                <w:rFonts w:asciiTheme="minorEastAsia" w:eastAsiaTheme="minorEastAsia" w:hAnsiTheme="minorEastAsia" w:cstheme="minorEastAsia" w:hint="eastAsia"/>
                <w:iCs/>
                <w:kern w:val="0"/>
                <w:sz w:val="24"/>
                <w:vertAlign w:val="subscript"/>
              </w:rPr>
              <w:t>R</w:t>
            </w:r>
          </w:p>
        </w:tc>
        <w:tc>
          <w:tcPr>
            <w:tcW w:w="4687" w:type="dxa"/>
            <w:gridSpan w:val="3"/>
            <w:shd w:val="clear" w:color="auto" w:fill="auto"/>
            <w:vAlign w:val="center"/>
          </w:tcPr>
          <w:p w:rsidR="0034634C" w:rsidRDefault="00F750F8" w:rsidP="000911E2">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15.2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i/>
                <w:iCs/>
                <w:kern w:val="0"/>
                <w:sz w:val="24"/>
              </w:rPr>
            </w:pPr>
            <w:r>
              <w:rPr>
                <w:rFonts w:asciiTheme="minorEastAsia" w:eastAsiaTheme="minorEastAsia" w:hAnsiTheme="minorEastAsia" w:cstheme="minorEastAsia" w:hint="eastAsia"/>
                <w:i/>
                <w:iCs/>
                <w:kern w:val="0"/>
                <w:sz w:val="24"/>
              </w:rPr>
              <w:t>R</w:t>
            </w:r>
          </w:p>
        </w:tc>
        <w:tc>
          <w:tcPr>
            <w:tcW w:w="4687" w:type="dxa"/>
            <w:gridSpan w:val="3"/>
            <w:shd w:val="clear" w:color="auto" w:fill="auto"/>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43.</w:t>
            </w:r>
            <w:r w:rsidR="000911E2">
              <w:rPr>
                <w:rFonts w:ascii="宋体" w:hAnsi="宋体" w:cs="宋体" w:hint="eastAsia"/>
                <w:color w:val="000000"/>
                <w:kern w:val="0"/>
                <w:sz w:val="24"/>
              </w:rPr>
              <w:t>0</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widowControl/>
              <w:jc w:val="center"/>
              <w:textAlignment w:val="center"/>
              <w:rPr>
                <w:rFonts w:asciiTheme="minorEastAsia" w:eastAsiaTheme="minorEastAsia" w:hAnsiTheme="minorEastAsia" w:cstheme="minorEastAsia"/>
                <w:i/>
                <w:iCs/>
                <w:kern w:val="0"/>
                <w:sz w:val="24"/>
              </w:rPr>
            </w:pPr>
            <w:r>
              <w:rPr>
                <w:rFonts w:ascii="宋体" w:hAnsi="宋体" w:cs="宋体" w:hint="eastAsia"/>
                <w:color w:val="000000"/>
                <w:kern w:val="0"/>
                <w:sz w:val="24"/>
              </w:rPr>
              <w:t>(R)</w:t>
            </w:r>
          </w:p>
        </w:tc>
        <w:tc>
          <w:tcPr>
            <w:tcW w:w="4687" w:type="dxa"/>
            <w:gridSpan w:val="3"/>
            <w:shd w:val="clear" w:color="auto" w:fill="auto"/>
            <w:vAlign w:val="center"/>
          </w:tcPr>
          <w:p w:rsidR="0034634C" w:rsidRDefault="003E5F75" w:rsidP="003E5F75">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29.01</w:t>
            </w:r>
            <w:r w:rsidR="00F750F8">
              <w:rPr>
                <w:rFonts w:ascii="宋体" w:hAnsi="宋体" w:cs="宋体" w:hint="eastAsia"/>
                <w:color w:val="000000"/>
                <w:kern w:val="0"/>
                <w:sz w:val="24"/>
              </w:rPr>
              <w:t xml:space="preserve"> </w:t>
            </w:r>
          </w:p>
        </w:tc>
      </w:tr>
      <w:tr w:rsidR="0034634C">
        <w:trPr>
          <w:trHeight w:val="468"/>
          <w:jc w:val="center"/>
        </w:trPr>
        <w:tc>
          <w:tcPr>
            <w:tcW w:w="1547" w:type="dxa"/>
            <w:vMerge w:val="restart"/>
            <w:vAlign w:val="center"/>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样品2</w:t>
            </w:r>
          </w:p>
        </w:tc>
        <w:tc>
          <w:tcPr>
            <w:tcW w:w="1547" w:type="dxa"/>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412.</w:t>
            </w:r>
            <w:r w:rsidR="003E5F75">
              <w:rPr>
                <w:rFonts w:ascii="宋体" w:hAnsi="宋体" w:cs="宋体" w:hint="eastAsia"/>
                <w:color w:val="000000"/>
                <w:kern w:val="0"/>
                <w:sz w:val="24"/>
              </w:rPr>
              <w:t>3</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493.</w:t>
            </w:r>
            <w:r w:rsidR="003E5F75">
              <w:rPr>
                <w:rFonts w:ascii="宋体" w:hAnsi="宋体" w:cs="宋体" w:hint="eastAsia"/>
                <w:color w:val="000000"/>
                <w:kern w:val="0"/>
                <w:sz w:val="24"/>
              </w:rPr>
              <w:t>6</w:t>
            </w:r>
            <w:r>
              <w:rPr>
                <w:rFonts w:ascii="宋体" w:hAnsi="宋体" w:cs="宋体" w:hint="eastAsia"/>
                <w:color w:val="000000"/>
                <w:kern w:val="0"/>
                <w:sz w:val="24"/>
              </w:rPr>
              <w:t xml:space="preserve"> </w:t>
            </w:r>
          </w:p>
        </w:tc>
        <w:tc>
          <w:tcPr>
            <w:tcW w:w="1591"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360.8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403.</w:t>
            </w:r>
            <w:r w:rsidR="003E5F75">
              <w:rPr>
                <w:rFonts w:ascii="宋体" w:hAnsi="宋体" w:cs="宋体" w:hint="eastAsia"/>
                <w:color w:val="000000"/>
                <w:kern w:val="0"/>
                <w:sz w:val="24"/>
              </w:rPr>
              <w:t>5</w:t>
            </w:r>
            <w:r>
              <w:rPr>
                <w:rFonts w:ascii="宋体" w:hAnsi="宋体" w:cs="宋体" w:hint="eastAsia"/>
                <w:color w:val="000000"/>
                <w:kern w:val="0"/>
                <w:sz w:val="24"/>
              </w:rPr>
              <w:t xml:space="preserve"> </w:t>
            </w:r>
          </w:p>
        </w:tc>
        <w:tc>
          <w:tcPr>
            <w:tcW w:w="1548"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483.3 </w:t>
            </w:r>
          </w:p>
        </w:tc>
        <w:tc>
          <w:tcPr>
            <w:tcW w:w="1591"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378.</w:t>
            </w:r>
            <w:r w:rsidR="003E5F75">
              <w:rPr>
                <w:rFonts w:ascii="宋体" w:hAnsi="宋体" w:cs="宋体" w:hint="eastAsia"/>
                <w:color w:val="000000"/>
                <w:kern w:val="0"/>
                <w:sz w:val="24"/>
              </w:rPr>
              <w:t>3</w:t>
            </w:r>
            <w:r>
              <w:rPr>
                <w:rFonts w:ascii="宋体" w:hAnsi="宋体" w:cs="宋体" w:hint="eastAsia"/>
                <w:color w:val="000000"/>
                <w:kern w:val="0"/>
                <w:sz w:val="24"/>
              </w:rPr>
              <w:t xml:space="preserve">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tcPr>
          <w:p w:rsidR="0034634C" w:rsidRDefault="00F750F8">
            <w:pPr>
              <w:spacing w:line="360" w:lineRule="auto"/>
              <w:jc w:val="center"/>
              <w:rPr>
                <w:rFonts w:asciiTheme="minorEastAsia" w:eastAsiaTheme="minorEastAsia" w:hAnsiTheme="minorEastAsia" w:cstheme="minorEastAsia"/>
                <w:kern w:val="0"/>
                <w:position w:val="-6"/>
                <w:sz w:val="24"/>
              </w:rPr>
            </w:pPr>
            <w:r>
              <w:rPr>
                <w:rFonts w:asciiTheme="minorEastAsia" w:eastAsiaTheme="minorEastAsia" w:hAnsiTheme="minorEastAsia" w:cstheme="minorEastAsia" w:hint="eastAsia"/>
                <w:kern w:val="0"/>
                <w:position w:val="-6"/>
                <w:sz w:val="24"/>
              </w:rPr>
              <w:t>3</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409.</w:t>
            </w:r>
            <w:r w:rsidR="003E5F75">
              <w:rPr>
                <w:rFonts w:ascii="宋体" w:hAnsi="宋体" w:cs="宋体" w:hint="eastAsia"/>
                <w:color w:val="000000"/>
                <w:kern w:val="0"/>
                <w:sz w:val="24"/>
              </w:rPr>
              <w:t>8</w:t>
            </w:r>
            <w:r>
              <w:rPr>
                <w:rFonts w:ascii="宋体" w:hAnsi="宋体" w:cs="宋体" w:hint="eastAsia"/>
                <w:color w:val="000000"/>
                <w:kern w:val="0"/>
                <w:sz w:val="24"/>
              </w:rPr>
              <w:t xml:space="preserve"> </w:t>
            </w:r>
          </w:p>
        </w:tc>
        <w:tc>
          <w:tcPr>
            <w:tcW w:w="1548"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482.0 </w:t>
            </w:r>
          </w:p>
        </w:tc>
        <w:tc>
          <w:tcPr>
            <w:tcW w:w="1591"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372.5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tcPr>
          <w:p w:rsidR="0034634C" w:rsidRDefault="0034634C">
            <w:pPr>
              <w:spacing w:line="360" w:lineRule="auto"/>
              <w:jc w:val="center"/>
              <w:rPr>
                <w:rFonts w:asciiTheme="minorEastAsia" w:eastAsiaTheme="minorEastAsia" w:hAnsiTheme="minorEastAsia" w:cstheme="minorEastAsia"/>
                <w:kern w:val="0"/>
                <w:sz w:val="24"/>
              </w:rPr>
            </w:pPr>
            <w:r w:rsidRPr="0034634C">
              <w:rPr>
                <w:rFonts w:asciiTheme="minorEastAsia" w:eastAsiaTheme="minorEastAsia" w:hAnsiTheme="minorEastAsia" w:cstheme="minorEastAsia" w:hint="eastAsia"/>
                <w:position w:val="-6"/>
                <w:sz w:val="24"/>
              </w:rPr>
              <w:object w:dxaOrig="180" w:dyaOrig="240">
                <v:shape id="_x0000_i1027" type="#_x0000_t75" style="width:9.15pt;height:11.65pt" o:ole="">
                  <v:imagedata r:id="rId8" o:title=""/>
                </v:shape>
                <o:OLEObject Type="Embed" ProgID="Equation.3" ShapeID="_x0000_i1027" DrawAspect="Content" ObjectID="_1632771370" r:id="rId11"/>
              </w:object>
            </w:r>
          </w:p>
        </w:tc>
        <w:tc>
          <w:tcPr>
            <w:tcW w:w="1548"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408.5 </w:t>
            </w:r>
          </w:p>
        </w:tc>
        <w:tc>
          <w:tcPr>
            <w:tcW w:w="1548"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486.3 </w:t>
            </w:r>
          </w:p>
        </w:tc>
        <w:tc>
          <w:tcPr>
            <w:tcW w:w="1591"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370.5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i/>
                <w:kern w:val="0"/>
                <w:sz w:val="24"/>
              </w:rPr>
              <w:t>S</w:t>
            </w:r>
            <w:r>
              <w:rPr>
                <w:rFonts w:asciiTheme="minorEastAsia" w:eastAsiaTheme="minorEastAsia" w:hAnsiTheme="minorEastAsia" w:cstheme="minorEastAsia" w:hint="eastAsia"/>
                <w:kern w:val="0"/>
                <w:sz w:val="24"/>
                <w:vertAlign w:val="subscript"/>
              </w:rPr>
              <w:t>r</w:t>
            </w:r>
          </w:p>
        </w:tc>
        <w:tc>
          <w:tcPr>
            <w:tcW w:w="1548"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4.5 </w:t>
            </w:r>
          </w:p>
        </w:tc>
        <w:tc>
          <w:tcPr>
            <w:tcW w:w="1548"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6.3 </w:t>
            </w:r>
          </w:p>
        </w:tc>
        <w:tc>
          <w:tcPr>
            <w:tcW w:w="1591"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8.9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i/>
                <w:iCs/>
                <w:kern w:val="0"/>
                <w:sz w:val="24"/>
              </w:rPr>
            </w:pPr>
            <w:r>
              <w:rPr>
                <w:rFonts w:asciiTheme="minorEastAsia" w:eastAsiaTheme="minorEastAsia" w:hAnsiTheme="minorEastAsia" w:cstheme="minorEastAsia" w:hint="eastAsia"/>
                <w:i/>
                <w:iCs/>
                <w:kern w:val="0"/>
                <w:sz w:val="24"/>
              </w:rPr>
              <w:t>r</w:t>
            </w:r>
          </w:p>
        </w:tc>
        <w:tc>
          <w:tcPr>
            <w:tcW w:w="1548"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12.7 </w:t>
            </w:r>
          </w:p>
        </w:tc>
        <w:tc>
          <w:tcPr>
            <w:tcW w:w="1548"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17.8 </w:t>
            </w:r>
          </w:p>
        </w:tc>
        <w:tc>
          <w:tcPr>
            <w:tcW w:w="1591" w:type="dxa"/>
            <w:vAlign w:val="center"/>
          </w:tcPr>
          <w:p w:rsidR="0034634C" w:rsidRDefault="00F750F8" w:rsidP="003E5F75">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25.2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widowControl/>
              <w:jc w:val="center"/>
              <w:textAlignment w:val="center"/>
              <w:rPr>
                <w:rFonts w:asciiTheme="minorEastAsia" w:eastAsiaTheme="minorEastAsia" w:hAnsiTheme="minorEastAsia" w:cstheme="minorEastAsia"/>
                <w:i/>
                <w:iCs/>
                <w:kern w:val="0"/>
                <w:sz w:val="24"/>
              </w:rPr>
            </w:pPr>
            <w:r>
              <w:rPr>
                <w:rFonts w:ascii="宋体" w:hAnsi="宋体" w:cs="宋体" w:hint="eastAsia"/>
                <w:color w:val="000000"/>
                <w:kern w:val="0"/>
                <w:sz w:val="24"/>
              </w:rPr>
              <w:t>(r)</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3.1</w:t>
            </w:r>
            <w:r w:rsidR="003E5F75">
              <w:rPr>
                <w:rFonts w:ascii="宋体" w:hAnsi="宋体" w:cs="宋体" w:hint="eastAsia"/>
                <w:color w:val="000000"/>
                <w:kern w:val="0"/>
                <w:sz w:val="24"/>
              </w:rPr>
              <w:t>1</w:t>
            </w:r>
            <w:r>
              <w:rPr>
                <w:rFonts w:ascii="宋体" w:hAnsi="宋体" w:cs="宋体" w:hint="eastAsia"/>
                <w:color w:val="000000"/>
                <w:kern w:val="0"/>
                <w:sz w:val="24"/>
              </w:rPr>
              <w:t xml:space="preserve"> </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3.6</w:t>
            </w:r>
            <w:r w:rsidR="003E5F75">
              <w:rPr>
                <w:rFonts w:ascii="宋体" w:hAnsi="宋体" w:cs="宋体" w:hint="eastAsia"/>
                <w:color w:val="000000"/>
                <w:kern w:val="0"/>
                <w:sz w:val="24"/>
              </w:rPr>
              <w:t>6</w:t>
            </w:r>
            <w:r>
              <w:rPr>
                <w:rFonts w:ascii="宋体" w:hAnsi="宋体" w:cs="宋体" w:hint="eastAsia"/>
                <w:color w:val="000000"/>
                <w:kern w:val="0"/>
                <w:sz w:val="24"/>
              </w:rPr>
              <w:t xml:space="preserve"> </w:t>
            </w:r>
          </w:p>
        </w:tc>
        <w:tc>
          <w:tcPr>
            <w:tcW w:w="1591" w:type="dxa"/>
            <w:vAlign w:val="center"/>
          </w:tcPr>
          <w:p w:rsidR="0034634C" w:rsidRDefault="00F750F8" w:rsidP="003E5F75">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 xml:space="preserve">6.80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i/>
                <w:iCs/>
                <w:kern w:val="0"/>
                <w:sz w:val="24"/>
              </w:rPr>
            </w:pPr>
            <w:r>
              <w:rPr>
                <w:rFonts w:asciiTheme="minorEastAsia" w:eastAsiaTheme="minorEastAsia" w:hAnsiTheme="minorEastAsia" w:cstheme="minorEastAsia" w:hint="eastAsia"/>
                <w:i/>
                <w:iCs/>
                <w:kern w:val="0"/>
                <w:sz w:val="24"/>
              </w:rPr>
              <w:t>S</w:t>
            </w:r>
            <w:r>
              <w:rPr>
                <w:rFonts w:asciiTheme="minorEastAsia" w:eastAsiaTheme="minorEastAsia" w:hAnsiTheme="minorEastAsia" w:cstheme="minorEastAsia" w:hint="eastAsia"/>
                <w:iCs/>
                <w:kern w:val="0"/>
                <w:sz w:val="24"/>
                <w:vertAlign w:val="subscript"/>
              </w:rPr>
              <w:t>R</w:t>
            </w:r>
          </w:p>
        </w:tc>
        <w:tc>
          <w:tcPr>
            <w:tcW w:w="4687" w:type="dxa"/>
            <w:gridSpan w:val="3"/>
            <w:shd w:val="clear" w:color="auto" w:fill="auto"/>
            <w:vAlign w:val="center"/>
          </w:tcPr>
          <w:p w:rsidR="0034634C" w:rsidRDefault="00F750F8" w:rsidP="00DF163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59.0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i/>
                <w:iCs/>
                <w:kern w:val="0"/>
                <w:sz w:val="24"/>
              </w:rPr>
            </w:pPr>
            <w:r>
              <w:rPr>
                <w:rFonts w:asciiTheme="minorEastAsia" w:eastAsiaTheme="minorEastAsia" w:hAnsiTheme="minorEastAsia" w:cstheme="minorEastAsia" w:hint="eastAsia"/>
                <w:i/>
                <w:iCs/>
                <w:kern w:val="0"/>
                <w:sz w:val="24"/>
              </w:rPr>
              <w:t>R</w:t>
            </w:r>
          </w:p>
        </w:tc>
        <w:tc>
          <w:tcPr>
            <w:tcW w:w="4687" w:type="dxa"/>
            <w:gridSpan w:val="3"/>
            <w:shd w:val="clear" w:color="auto" w:fill="auto"/>
            <w:vAlign w:val="center"/>
          </w:tcPr>
          <w:p w:rsidR="0034634C" w:rsidRDefault="00F750F8" w:rsidP="00DF163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167.0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widowControl/>
              <w:jc w:val="center"/>
              <w:textAlignment w:val="center"/>
              <w:rPr>
                <w:rFonts w:asciiTheme="minorEastAsia" w:eastAsiaTheme="minorEastAsia" w:hAnsiTheme="minorEastAsia" w:cstheme="minorEastAsia"/>
                <w:i/>
                <w:iCs/>
                <w:kern w:val="0"/>
                <w:sz w:val="24"/>
              </w:rPr>
            </w:pPr>
            <w:r>
              <w:rPr>
                <w:rFonts w:ascii="宋体" w:hAnsi="宋体" w:cs="宋体" w:hint="eastAsia"/>
                <w:color w:val="000000"/>
                <w:kern w:val="0"/>
                <w:sz w:val="24"/>
              </w:rPr>
              <w:t>(R)</w:t>
            </w:r>
          </w:p>
        </w:tc>
        <w:tc>
          <w:tcPr>
            <w:tcW w:w="4687" w:type="dxa"/>
            <w:gridSpan w:val="3"/>
            <w:shd w:val="clear" w:color="auto" w:fill="auto"/>
            <w:vAlign w:val="center"/>
          </w:tcPr>
          <w:p w:rsidR="0034634C" w:rsidRDefault="00DF1636">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39.59</w:t>
            </w:r>
          </w:p>
        </w:tc>
      </w:tr>
      <w:tr w:rsidR="0034634C">
        <w:trPr>
          <w:trHeight w:val="468"/>
          <w:jc w:val="center"/>
        </w:trPr>
        <w:tc>
          <w:tcPr>
            <w:tcW w:w="1547" w:type="dxa"/>
            <w:vMerge w:val="restart"/>
            <w:vAlign w:val="center"/>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样品3</w:t>
            </w:r>
          </w:p>
        </w:tc>
        <w:tc>
          <w:tcPr>
            <w:tcW w:w="1547" w:type="dxa"/>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1548" w:type="dxa"/>
            <w:vAlign w:val="center"/>
          </w:tcPr>
          <w:p w:rsidR="0034634C" w:rsidRDefault="00F750F8" w:rsidP="00DF163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565.2</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542.</w:t>
            </w:r>
            <w:r w:rsidR="00DF1636">
              <w:rPr>
                <w:rFonts w:ascii="宋体" w:hAnsi="宋体" w:cs="宋体" w:hint="eastAsia"/>
                <w:color w:val="000000"/>
                <w:kern w:val="0"/>
                <w:sz w:val="24"/>
              </w:rPr>
              <w:t>6</w:t>
            </w:r>
          </w:p>
        </w:tc>
        <w:tc>
          <w:tcPr>
            <w:tcW w:w="1591"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397.</w:t>
            </w:r>
            <w:r w:rsidR="00DF1636">
              <w:rPr>
                <w:rFonts w:ascii="宋体" w:hAnsi="宋体" w:cs="宋体" w:hint="eastAsia"/>
                <w:color w:val="000000"/>
                <w:kern w:val="0"/>
                <w:sz w:val="24"/>
              </w:rPr>
              <w:t>8</w:t>
            </w:r>
            <w:r>
              <w:rPr>
                <w:rFonts w:ascii="宋体" w:hAnsi="宋体" w:cs="宋体" w:hint="eastAsia"/>
                <w:color w:val="000000"/>
                <w:kern w:val="0"/>
                <w:sz w:val="24"/>
              </w:rPr>
              <w:t xml:space="preserve">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527.</w:t>
            </w:r>
            <w:r w:rsidR="00DF1636">
              <w:rPr>
                <w:rFonts w:ascii="宋体" w:hAnsi="宋体" w:cs="宋体" w:hint="eastAsia"/>
                <w:color w:val="000000"/>
                <w:kern w:val="0"/>
                <w:sz w:val="24"/>
              </w:rPr>
              <w:t>1</w:t>
            </w:r>
          </w:p>
        </w:tc>
        <w:tc>
          <w:tcPr>
            <w:tcW w:w="1548" w:type="dxa"/>
            <w:vAlign w:val="center"/>
          </w:tcPr>
          <w:p w:rsidR="0034634C" w:rsidRDefault="00F750F8" w:rsidP="00DF163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524.6</w:t>
            </w:r>
          </w:p>
        </w:tc>
        <w:tc>
          <w:tcPr>
            <w:tcW w:w="1591"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411.</w:t>
            </w:r>
            <w:r w:rsidR="00DF1636">
              <w:rPr>
                <w:rFonts w:ascii="宋体" w:hAnsi="宋体" w:cs="宋体" w:hint="eastAsia"/>
                <w:color w:val="000000"/>
                <w:kern w:val="0"/>
                <w:sz w:val="24"/>
              </w:rPr>
              <w:t>4</w:t>
            </w:r>
            <w:r>
              <w:rPr>
                <w:rFonts w:ascii="宋体" w:hAnsi="宋体" w:cs="宋体" w:hint="eastAsia"/>
                <w:color w:val="000000"/>
                <w:kern w:val="0"/>
                <w:sz w:val="24"/>
              </w:rPr>
              <w:t xml:space="preserve">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tcPr>
          <w:p w:rsidR="0034634C" w:rsidRDefault="00F750F8">
            <w:pPr>
              <w:spacing w:line="360" w:lineRule="auto"/>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521.</w:t>
            </w:r>
            <w:r w:rsidR="00DF1636">
              <w:rPr>
                <w:rFonts w:ascii="宋体" w:hAnsi="宋体" w:cs="宋体" w:hint="eastAsia"/>
                <w:color w:val="000000"/>
                <w:kern w:val="0"/>
                <w:sz w:val="24"/>
              </w:rPr>
              <w:t>8</w:t>
            </w:r>
          </w:p>
        </w:tc>
        <w:tc>
          <w:tcPr>
            <w:tcW w:w="1548" w:type="dxa"/>
            <w:vAlign w:val="center"/>
          </w:tcPr>
          <w:p w:rsidR="0034634C" w:rsidRDefault="00F750F8" w:rsidP="00DF163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537.5</w:t>
            </w:r>
          </w:p>
        </w:tc>
        <w:tc>
          <w:tcPr>
            <w:tcW w:w="1591" w:type="dxa"/>
            <w:vAlign w:val="center"/>
          </w:tcPr>
          <w:p w:rsidR="0034634C" w:rsidRDefault="00F750F8" w:rsidP="00DF163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396.5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34634C">
            <w:pPr>
              <w:jc w:val="center"/>
              <w:rPr>
                <w:rFonts w:asciiTheme="minorEastAsia" w:eastAsiaTheme="minorEastAsia" w:hAnsiTheme="minorEastAsia" w:cstheme="minorEastAsia"/>
                <w:kern w:val="0"/>
                <w:sz w:val="24"/>
              </w:rPr>
            </w:pPr>
            <w:r w:rsidRPr="0034634C">
              <w:rPr>
                <w:rFonts w:asciiTheme="minorEastAsia" w:eastAsiaTheme="minorEastAsia" w:hAnsiTheme="minorEastAsia" w:cstheme="minorEastAsia" w:hint="eastAsia"/>
                <w:position w:val="-6"/>
                <w:sz w:val="24"/>
              </w:rPr>
              <w:object w:dxaOrig="180" w:dyaOrig="240">
                <v:shape id="_x0000_i1028" type="#_x0000_t75" style="width:9.15pt;height:11.65pt" o:ole="">
                  <v:imagedata r:id="rId8" o:title=""/>
                </v:shape>
                <o:OLEObject Type="Embed" ProgID="Equation.3" ShapeID="_x0000_i1028" DrawAspect="Content" ObjectID="_1632771371" r:id="rId12"/>
              </w:object>
            </w:r>
          </w:p>
        </w:tc>
        <w:tc>
          <w:tcPr>
            <w:tcW w:w="1548" w:type="dxa"/>
            <w:vAlign w:val="center"/>
          </w:tcPr>
          <w:p w:rsidR="0034634C" w:rsidRDefault="00F750F8" w:rsidP="00DF163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538.0</w:t>
            </w:r>
          </w:p>
        </w:tc>
        <w:tc>
          <w:tcPr>
            <w:tcW w:w="1548" w:type="dxa"/>
            <w:vAlign w:val="center"/>
          </w:tcPr>
          <w:p w:rsidR="0034634C" w:rsidRDefault="00F750F8" w:rsidP="00DF163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534.9</w:t>
            </w:r>
          </w:p>
        </w:tc>
        <w:tc>
          <w:tcPr>
            <w:tcW w:w="1591"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401.</w:t>
            </w:r>
            <w:r w:rsidR="00DF1636">
              <w:rPr>
                <w:rFonts w:ascii="宋体" w:hAnsi="宋体" w:cs="宋体" w:hint="eastAsia"/>
                <w:color w:val="000000"/>
                <w:kern w:val="0"/>
                <w:sz w:val="24"/>
              </w:rPr>
              <w:t>9</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i/>
                <w:kern w:val="0"/>
                <w:sz w:val="24"/>
              </w:rPr>
              <w:t>S</w:t>
            </w:r>
            <w:r>
              <w:rPr>
                <w:rFonts w:asciiTheme="minorEastAsia" w:eastAsiaTheme="minorEastAsia" w:hAnsiTheme="minorEastAsia" w:cstheme="minorEastAsia" w:hint="eastAsia"/>
                <w:i/>
                <w:kern w:val="0"/>
                <w:sz w:val="24"/>
                <w:vertAlign w:val="subscript"/>
              </w:rPr>
              <w:t>r</w:t>
            </w:r>
          </w:p>
        </w:tc>
        <w:tc>
          <w:tcPr>
            <w:tcW w:w="1548" w:type="dxa"/>
            <w:vAlign w:val="center"/>
          </w:tcPr>
          <w:p w:rsidR="0034634C" w:rsidRDefault="00F750F8" w:rsidP="00B87D5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23.7</w:t>
            </w:r>
          </w:p>
        </w:tc>
        <w:tc>
          <w:tcPr>
            <w:tcW w:w="1548" w:type="dxa"/>
            <w:vAlign w:val="center"/>
          </w:tcPr>
          <w:p w:rsidR="0034634C" w:rsidRDefault="00F750F8" w:rsidP="00B87D5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9.2</w:t>
            </w:r>
          </w:p>
        </w:tc>
        <w:tc>
          <w:tcPr>
            <w:tcW w:w="1591" w:type="dxa"/>
            <w:vAlign w:val="center"/>
          </w:tcPr>
          <w:p w:rsidR="0034634C" w:rsidRDefault="00F750F8" w:rsidP="00B87D5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8.</w:t>
            </w:r>
            <w:r w:rsidR="00B87D56">
              <w:rPr>
                <w:rFonts w:ascii="宋体" w:hAnsi="宋体" w:cs="宋体" w:hint="eastAsia"/>
                <w:color w:val="000000"/>
                <w:kern w:val="0"/>
                <w:sz w:val="24"/>
              </w:rPr>
              <w:t>3</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i/>
                <w:iCs/>
                <w:kern w:val="0"/>
                <w:sz w:val="24"/>
              </w:rPr>
            </w:pPr>
            <w:r>
              <w:rPr>
                <w:rFonts w:asciiTheme="minorEastAsia" w:eastAsiaTheme="minorEastAsia" w:hAnsiTheme="minorEastAsia" w:cstheme="minorEastAsia" w:hint="eastAsia"/>
                <w:i/>
                <w:iCs/>
                <w:kern w:val="0"/>
                <w:sz w:val="24"/>
              </w:rPr>
              <w:t>r</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67.</w:t>
            </w:r>
            <w:r w:rsidR="00B87D56">
              <w:rPr>
                <w:rFonts w:ascii="宋体" w:hAnsi="宋体" w:cs="宋体" w:hint="eastAsia"/>
                <w:color w:val="000000"/>
                <w:kern w:val="0"/>
                <w:sz w:val="24"/>
              </w:rPr>
              <w:t>1</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26.</w:t>
            </w:r>
            <w:r w:rsidR="00B87D56">
              <w:rPr>
                <w:rFonts w:ascii="宋体" w:hAnsi="宋体" w:cs="宋体" w:hint="eastAsia"/>
                <w:color w:val="000000"/>
                <w:kern w:val="0"/>
                <w:sz w:val="24"/>
              </w:rPr>
              <w:t>0</w:t>
            </w:r>
          </w:p>
        </w:tc>
        <w:tc>
          <w:tcPr>
            <w:tcW w:w="1591" w:type="dxa"/>
            <w:vAlign w:val="center"/>
          </w:tcPr>
          <w:p w:rsidR="0034634C" w:rsidRDefault="00F750F8">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23.</w:t>
            </w:r>
            <w:r w:rsidR="00B87D56">
              <w:rPr>
                <w:rFonts w:ascii="宋体" w:hAnsi="宋体" w:cs="宋体" w:hint="eastAsia"/>
                <w:color w:val="000000"/>
                <w:kern w:val="0"/>
                <w:sz w:val="24"/>
              </w:rPr>
              <w:t>5</w:t>
            </w:r>
            <w:r>
              <w:rPr>
                <w:rFonts w:ascii="宋体" w:hAnsi="宋体" w:cs="宋体" w:hint="eastAsia"/>
                <w:color w:val="000000"/>
                <w:kern w:val="0"/>
                <w:sz w:val="24"/>
              </w:rPr>
              <w:t xml:space="preserve">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widowControl/>
              <w:jc w:val="center"/>
              <w:textAlignment w:val="center"/>
              <w:rPr>
                <w:rFonts w:asciiTheme="minorEastAsia" w:eastAsiaTheme="minorEastAsia" w:hAnsiTheme="minorEastAsia" w:cstheme="minorEastAsia"/>
                <w:i/>
                <w:iCs/>
                <w:kern w:val="0"/>
                <w:sz w:val="24"/>
              </w:rPr>
            </w:pPr>
            <w:r>
              <w:rPr>
                <w:rFonts w:ascii="宋体" w:hAnsi="宋体" w:cs="宋体" w:hint="eastAsia"/>
                <w:color w:val="000000"/>
                <w:kern w:val="0"/>
                <w:sz w:val="24"/>
              </w:rPr>
              <w:t>(r)</w:t>
            </w:r>
          </w:p>
        </w:tc>
        <w:tc>
          <w:tcPr>
            <w:tcW w:w="1548" w:type="dxa"/>
            <w:vAlign w:val="center"/>
          </w:tcPr>
          <w:p w:rsidR="0034634C" w:rsidRDefault="00F750F8" w:rsidP="00B87D56">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12.47</w:t>
            </w:r>
          </w:p>
        </w:tc>
        <w:tc>
          <w:tcPr>
            <w:tcW w:w="1548" w:type="dxa"/>
            <w:vAlign w:val="center"/>
          </w:tcPr>
          <w:p w:rsidR="0034634C" w:rsidRDefault="00F750F8">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4.8</w:t>
            </w:r>
            <w:r w:rsidR="00B87D56">
              <w:rPr>
                <w:rFonts w:ascii="宋体" w:hAnsi="宋体" w:cs="宋体" w:hint="eastAsia"/>
                <w:color w:val="000000"/>
                <w:kern w:val="0"/>
                <w:sz w:val="24"/>
              </w:rPr>
              <w:t>6</w:t>
            </w:r>
          </w:p>
        </w:tc>
        <w:tc>
          <w:tcPr>
            <w:tcW w:w="1591" w:type="dxa"/>
            <w:vAlign w:val="center"/>
          </w:tcPr>
          <w:p w:rsidR="0034634C" w:rsidRDefault="00F750F8">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5.</w:t>
            </w:r>
            <w:r w:rsidR="00B87D56">
              <w:rPr>
                <w:rFonts w:ascii="宋体" w:hAnsi="宋体" w:cs="宋体" w:hint="eastAsia"/>
                <w:color w:val="000000"/>
                <w:kern w:val="0"/>
                <w:sz w:val="24"/>
              </w:rPr>
              <w:t>85</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bookmarkStart w:id="1" w:name="_GoBack" w:colFirst="2" w:colLast="4"/>
          </w:p>
        </w:tc>
        <w:tc>
          <w:tcPr>
            <w:tcW w:w="1547" w:type="dxa"/>
            <w:vAlign w:val="center"/>
          </w:tcPr>
          <w:p w:rsidR="0034634C" w:rsidRDefault="00F750F8">
            <w:pPr>
              <w:jc w:val="center"/>
              <w:rPr>
                <w:rFonts w:asciiTheme="minorEastAsia" w:eastAsiaTheme="minorEastAsia" w:hAnsiTheme="minorEastAsia" w:cstheme="minorEastAsia"/>
                <w:i/>
                <w:iCs/>
                <w:kern w:val="0"/>
                <w:sz w:val="24"/>
              </w:rPr>
            </w:pPr>
            <w:r>
              <w:rPr>
                <w:rFonts w:asciiTheme="minorEastAsia" w:eastAsiaTheme="minorEastAsia" w:hAnsiTheme="minorEastAsia" w:cstheme="minorEastAsia" w:hint="eastAsia"/>
                <w:i/>
                <w:iCs/>
                <w:kern w:val="0"/>
                <w:sz w:val="24"/>
              </w:rPr>
              <w:t>S</w:t>
            </w:r>
            <w:r>
              <w:rPr>
                <w:rFonts w:asciiTheme="minorEastAsia" w:eastAsiaTheme="minorEastAsia" w:hAnsiTheme="minorEastAsia" w:cstheme="minorEastAsia" w:hint="eastAsia"/>
                <w:iCs/>
                <w:kern w:val="0"/>
                <w:sz w:val="24"/>
                <w:vertAlign w:val="subscript"/>
              </w:rPr>
              <w:t>R</w:t>
            </w:r>
          </w:p>
        </w:tc>
        <w:tc>
          <w:tcPr>
            <w:tcW w:w="4687" w:type="dxa"/>
            <w:gridSpan w:val="3"/>
            <w:shd w:val="clear" w:color="auto" w:fill="auto"/>
            <w:vAlign w:val="center"/>
          </w:tcPr>
          <w:p w:rsidR="0034634C" w:rsidRDefault="00F750F8" w:rsidP="00B87D5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77.7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jc w:val="center"/>
              <w:rPr>
                <w:rFonts w:asciiTheme="minorEastAsia" w:eastAsiaTheme="minorEastAsia" w:hAnsiTheme="minorEastAsia" w:cstheme="minorEastAsia"/>
                <w:i/>
                <w:iCs/>
                <w:kern w:val="0"/>
                <w:sz w:val="24"/>
              </w:rPr>
            </w:pPr>
            <w:r>
              <w:rPr>
                <w:rFonts w:asciiTheme="minorEastAsia" w:eastAsiaTheme="minorEastAsia" w:hAnsiTheme="minorEastAsia" w:cstheme="minorEastAsia" w:hint="eastAsia"/>
                <w:i/>
                <w:iCs/>
                <w:kern w:val="0"/>
                <w:sz w:val="24"/>
              </w:rPr>
              <w:t>R</w:t>
            </w:r>
          </w:p>
        </w:tc>
        <w:tc>
          <w:tcPr>
            <w:tcW w:w="4687" w:type="dxa"/>
            <w:gridSpan w:val="3"/>
            <w:shd w:val="clear" w:color="auto" w:fill="auto"/>
            <w:vAlign w:val="center"/>
          </w:tcPr>
          <w:p w:rsidR="0034634C" w:rsidRDefault="00F750F8" w:rsidP="00B87D56">
            <w:pPr>
              <w:widowControl/>
              <w:jc w:val="center"/>
              <w:textAlignment w:val="center"/>
              <w:rPr>
                <w:rFonts w:asciiTheme="minorEastAsia" w:eastAsiaTheme="minorEastAsia" w:hAnsiTheme="minorEastAsia" w:cstheme="minorEastAsia"/>
                <w:kern w:val="0"/>
                <w:sz w:val="24"/>
              </w:rPr>
            </w:pPr>
            <w:r>
              <w:rPr>
                <w:rFonts w:ascii="宋体" w:hAnsi="宋体" w:cs="宋体" w:hint="eastAsia"/>
                <w:color w:val="000000"/>
                <w:kern w:val="0"/>
                <w:sz w:val="24"/>
              </w:rPr>
              <w:t xml:space="preserve">219.9 </w:t>
            </w:r>
          </w:p>
        </w:tc>
      </w:tr>
      <w:tr w:rsidR="0034634C">
        <w:trPr>
          <w:trHeight w:val="468"/>
          <w:jc w:val="center"/>
        </w:trPr>
        <w:tc>
          <w:tcPr>
            <w:tcW w:w="1547" w:type="dxa"/>
            <w:vMerge/>
          </w:tcPr>
          <w:p w:rsidR="0034634C" w:rsidRDefault="0034634C">
            <w:pPr>
              <w:spacing w:line="360" w:lineRule="auto"/>
              <w:jc w:val="center"/>
              <w:rPr>
                <w:rFonts w:asciiTheme="minorEastAsia" w:eastAsiaTheme="minorEastAsia" w:hAnsiTheme="minorEastAsia" w:cstheme="minorEastAsia"/>
                <w:kern w:val="0"/>
                <w:sz w:val="24"/>
              </w:rPr>
            </w:pPr>
          </w:p>
        </w:tc>
        <w:tc>
          <w:tcPr>
            <w:tcW w:w="1547" w:type="dxa"/>
            <w:vAlign w:val="center"/>
          </w:tcPr>
          <w:p w:rsidR="0034634C" w:rsidRDefault="00F750F8">
            <w:pPr>
              <w:widowControl/>
              <w:jc w:val="center"/>
              <w:textAlignment w:val="center"/>
              <w:rPr>
                <w:rFonts w:asciiTheme="minorEastAsia" w:eastAsiaTheme="minorEastAsia" w:hAnsiTheme="minorEastAsia" w:cstheme="minorEastAsia"/>
                <w:i/>
                <w:iCs/>
                <w:kern w:val="0"/>
                <w:sz w:val="24"/>
              </w:rPr>
            </w:pPr>
            <w:r>
              <w:rPr>
                <w:rFonts w:ascii="宋体" w:hAnsi="宋体" w:cs="宋体" w:hint="eastAsia"/>
                <w:color w:val="000000"/>
                <w:kern w:val="0"/>
                <w:sz w:val="24"/>
              </w:rPr>
              <w:t>(R)</w:t>
            </w:r>
          </w:p>
        </w:tc>
        <w:tc>
          <w:tcPr>
            <w:tcW w:w="4687" w:type="dxa"/>
            <w:gridSpan w:val="3"/>
            <w:shd w:val="clear" w:color="auto" w:fill="auto"/>
            <w:vAlign w:val="center"/>
          </w:tcPr>
          <w:p w:rsidR="0034634C" w:rsidRDefault="00B87D56" w:rsidP="00B87D56">
            <w:pPr>
              <w:widowControl/>
              <w:jc w:val="center"/>
              <w:textAlignment w:val="center"/>
              <w:rPr>
                <w:rFonts w:asciiTheme="minorEastAsia" w:eastAsiaTheme="minorEastAsia" w:hAnsiTheme="minorEastAsia" w:cstheme="minorEastAsia"/>
                <w:color w:val="000000"/>
                <w:kern w:val="0"/>
                <w:sz w:val="24"/>
              </w:rPr>
            </w:pPr>
            <w:r>
              <w:rPr>
                <w:rFonts w:ascii="宋体" w:hAnsi="宋体" w:cs="宋体" w:hint="eastAsia"/>
                <w:color w:val="000000"/>
                <w:kern w:val="0"/>
                <w:sz w:val="24"/>
              </w:rPr>
              <w:t>44.73</w:t>
            </w:r>
          </w:p>
        </w:tc>
      </w:tr>
      <w:bookmarkEnd w:id="1"/>
    </w:tbl>
    <w:p w:rsidR="0034634C" w:rsidRDefault="0034634C">
      <w:pPr>
        <w:pStyle w:val="ab"/>
        <w:spacing w:line="360" w:lineRule="auto"/>
        <w:ind w:firstLineChars="150" w:firstLine="360"/>
        <w:rPr>
          <w:rFonts w:ascii="宋体" w:hAnsi="宋体"/>
          <w:sz w:val="24"/>
        </w:rPr>
      </w:pPr>
    </w:p>
    <w:p w:rsidR="0034634C" w:rsidRDefault="00F750F8">
      <w:pPr>
        <w:pStyle w:val="ab"/>
        <w:numPr>
          <w:ilvl w:val="0"/>
          <w:numId w:val="2"/>
        </w:numPr>
        <w:spacing w:line="360" w:lineRule="auto"/>
        <w:ind w:firstLineChars="0"/>
        <w:rPr>
          <w:rFonts w:ascii="黑体" w:eastAsia="黑体" w:hAnsi="黑体"/>
          <w:sz w:val="24"/>
        </w:rPr>
      </w:pPr>
      <w:r>
        <w:rPr>
          <w:rFonts w:ascii="黑体" w:eastAsia="黑体" w:hAnsi="黑体" w:hint="eastAsia"/>
          <w:sz w:val="24"/>
        </w:rPr>
        <w:t>本标准与有关现行法律、法规和强制性标准没有冲突。</w:t>
      </w:r>
    </w:p>
    <w:p w:rsidR="0034634C" w:rsidRDefault="00F750F8">
      <w:pPr>
        <w:pStyle w:val="ab"/>
        <w:numPr>
          <w:ilvl w:val="0"/>
          <w:numId w:val="2"/>
        </w:numPr>
        <w:spacing w:line="360" w:lineRule="auto"/>
        <w:ind w:firstLineChars="0"/>
        <w:rPr>
          <w:rFonts w:ascii="黑体" w:eastAsia="黑体" w:hAnsi="黑体"/>
          <w:sz w:val="24"/>
        </w:rPr>
      </w:pPr>
      <w:r>
        <w:rPr>
          <w:rFonts w:ascii="黑体" w:eastAsia="黑体" w:hAnsi="黑体" w:hint="eastAsia"/>
          <w:sz w:val="24"/>
        </w:rPr>
        <w:t>本标准（征求意见稿）在修订过程中尚未出现重大意见分歧。</w:t>
      </w:r>
    </w:p>
    <w:p w:rsidR="0034634C" w:rsidRDefault="00F750F8">
      <w:pPr>
        <w:pStyle w:val="ab"/>
        <w:numPr>
          <w:ilvl w:val="0"/>
          <w:numId w:val="2"/>
        </w:numPr>
        <w:spacing w:line="360" w:lineRule="auto"/>
        <w:ind w:firstLineChars="0"/>
        <w:rPr>
          <w:rFonts w:ascii="黑体" w:eastAsia="黑体" w:hAnsi="黑体"/>
          <w:sz w:val="24"/>
        </w:rPr>
      </w:pPr>
      <w:r>
        <w:rPr>
          <w:rFonts w:ascii="黑体" w:eastAsia="黑体" w:hAnsi="黑体" w:hint="eastAsia"/>
          <w:sz w:val="24"/>
        </w:rPr>
        <w:t>建议本标准作为推荐性标准发布实施。</w:t>
      </w:r>
    </w:p>
    <w:p w:rsidR="0034634C" w:rsidRDefault="00F750F8">
      <w:pPr>
        <w:pStyle w:val="ab"/>
        <w:numPr>
          <w:ilvl w:val="0"/>
          <w:numId w:val="2"/>
        </w:numPr>
        <w:spacing w:line="360" w:lineRule="auto"/>
        <w:ind w:firstLineChars="0"/>
        <w:rPr>
          <w:rFonts w:ascii="黑体" w:eastAsia="黑体" w:hAnsi="黑体"/>
          <w:sz w:val="24"/>
        </w:rPr>
      </w:pPr>
      <w:r>
        <w:rPr>
          <w:rFonts w:ascii="黑体" w:eastAsia="黑体" w:hAnsi="黑体" w:hint="eastAsia"/>
          <w:sz w:val="24"/>
        </w:rPr>
        <w:t>本标准宣贯时应包括系列内容：</w:t>
      </w:r>
    </w:p>
    <w:p w:rsidR="0034634C" w:rsidRDefault="00F750F8">
      <w:pPr>
        <w:pStyle w:val="ab"/>
        <w:spacing w:line="360" w:lineRule="auto"/>
        <w:ind w:left="360" w:firstLineChars="0" w:firstLine="0"/>
        <w:rPr>
          <w:rFonts w:ascii="宋体" w:hAnsi="宋体"/>
          <w:sz w:val="24"/>
        </w:rPr>
      </w:pPr>
      <w:r>
        <w:rPr>
          <w:rFonts w:ascii="宋体" w:hAnsi="宋体" w:hint="eastAsia"/>
          <w:sz w:val="24"/>
        </w:rPr>
        <w:t>（1）介绍本标准修订的原因、过程及意义；</w:t>
      </w:r>
    </w:p>
    <w:p w:rsidR="0034634C" w:rsidRDefault="00F750F8">
      <w:pPr>
        <w:pStyle w:val="ab"/>
        <w:spacing w:line="360" w:lineRule="auto"/>
        <w:ind w:left="360" w:firstLineChars="0" w:firstLine="0"/>
        <w:rPr>
          <w:rFonts w:ascii="宋体" w:hAnsi="宋体"/>
          <w:sz w:val="24"/>
        </w:rPr>
      </w:pPr>
      <w:r>
        <w:rPr>
          <w:rFonts w:ascii="宋体" w:hAnsi="宋体" w:hint="eastAsia"/>
          <w:sz w:val="24"/>
        </w:rPr>
        <w:t>（2）介绍和解释本标准的主要技术内容；</w:t>
      </w:r>
    </w:p>
    <w:p w:rsidR="0034634C" w:rsidRDefault="00F750F8">
      <w:pPr>
        <w:pStyle w:val="ab"/>
        <w:spacing w:line="360" w:lineRule="auto"/>
        <w:ind w:left="360" w:firstLineChars="0" w:firstLine="0"/>
        <w:rPr>
          <w:rFonts w:ascii="宋体" w:hAnsi="宋体"/>
          <w:sz w:val="24"/>
        </w:rPr>
      </w:pPr>
      <w:r>
        <w:rPr>
          <w:rFonts w:ascii="宋体" w:hAnsi="宋体" w:hint="eastAsia"/>
          <w:sz w:val="24"/>
        </w:rPr>
        <w:t>（3）本标准实施过程中可能遇到的问题及解决办法。</w:t>
      </w:r>
    </w:p>
    <w:p w:rsidR="0034634C" w:rsidRDefault="00F750F8">
      <w:pPr>
        <w:pStyle w:val="ab"/>
        <w:numPr>
          <w:ilvl w:val="0"/>
          <w:numId w:val="2"/>
        </w:numPr>
        <w:spacing w:line="360" w:lineRule="auto"/>
        <w:ind w:firstLineChars="0"/>
        <w:rPr>
          <w:rFonts w:ascii="黑体" w:eastAsia="黑体" w:hAnsi="黑体"/>
          <w:sz w:val="24"/>
        </w:rPr>
      </w:pPr>
      <w:r>
        <w:rPr>
          <w:rFonts w:ascii="黑体" w:eastAsia="黑体" w:hAnsi="黑体" w:hint="eastAsia"/>
          <w:sz w:val="24"/>
        </w:rPr>
        <w:t>本标准宣贯时建议采用下列形式：</w:t>
      </w:r>
    </w:p>
    <w:p w:rsidR="0034634C" w:rsidRDefault="00F750F8">
      <w:pPr>
        <w:pStyle w:val="ab"/>
        <w:spacing w:line="360" w:lineRule="auto"/>
        <w:ind w:left="360" w:firstLineChars="0" w:firstLine="0"/>
        <w:rPr>
          <w:rFonts w:ascii="宋体" w:hAnsi="宋体"/>
          <w:sz w:val="24"/>
        </w:rPr>
      </w:pPr>
      <w:r>
        <w:rPr>
          <w:rFonts w:ascii="宋体" w:hAnsi="宋体" w:hint="eastAsia"/>
          <w:sz w:val="24"/>
        </w:rPr>
        <w:t>（1）举办有关生产使用企业和检验机构的有关人员参加的标准宣贯培训班；</w:t>
      </w:r>
    </w:p>
    <w:p w:rsidR="0034634C" w:rsidRDefault="00F750F8">
      <w:pPr>
        <w:pStyle w:val="ab"/>
        <w:spacing w:line="360" w:lineRule="auto"/>
        <w:ind w:left="360" w:firstLineChars="0" w:firstLine="0"/>
        <w:rPr>
          <w:rFonts w:ascii="宋体" w:hAnsi="宋体"/>
          <w:sz w:val="24"/>
        </w:rPr>
      </w:pPr>
      <w:r>
        <w:rPr>
          <w:rFonts w:ascii="宋体" w:hAnsi="宋体" w:hint="eastAsia"/>
          <w:sz w:val="24"/>
        </w:rPr>
        <w:t>（2）由本标准起草人员到有关企业和检验机构，对相关人员进行现场宣讲、示范操作。</w:t>
      </w:r>
    </w:p>
    <w:p w:rsidR="0034634C" w:rsidRDefault="0034634C">
      <w:pPr>
        <w:pStyle w:val="ab"/>
        <w:spacing w:line="360" w:lineRule="auto"/>
        <w:ind w:left="360" w:firstLineChars="0" w:firstLine="0"/>
        <w:rPr>
          <w:rFonts w:ascii="宋体" w:hAnsi="宋体"/>
          <w:sz w:val="24"/>
        </w:rPr>
      </w:pPr>
    </w:p>
    <w:p w:rsidR="0034634C" w:rsidRDefault="00F750F8">
      <w:pPr>
        <w:pStyle w:val="ab"/>
        <w:wordWrap w:val="0"/>
        <w:spacing w:line="360" w:lineRule="auto"/>
        <w:ind w:left="360" w:right="120" w:firstLineChars="0" w:firstLine="0"/>
        <w:jc w:val="right"/>
        <w:rPr>
          <w:rFonts w:ascii="宋体" w:hAnsi="宋体"/>
          <w:sz w:val="24"/>
        </w:rPr>
      </w:pPr>
      <w:r>
        <w:rPr>
          <w:rFonts w:ascii="宋体" w:hAnsi="宋体" w:hint="eastAsia"/>
          <w:sz w:val="24"/>
        </w:rPr>
        <w:t>《浓缩天然胶乳 总磷酸盐含量的测定 分光光度法》起草小组</w:t>
      </w:r>
    </w:p>
    <w:p w:rsidR="0034634C" w:rsidRDefault="00F750F8">
      <w:pPr>
        <w:jc w:val="left"/>
      </w:pPr>
      <w:r>
        <w:rPr>
          <w:rFonts w:ascii="宋体" w:hAnsi="宋体" w:hint="eastAsia"/>
          <w:sz w:val="24"/>
        </w:rPr>
        <w:t xml:space="preserve">                                                            2019年</w:t>
      </w:r>
      <w:r w:rsidR="00DB0EC9">
        <w:rPr>
          <w:rFonts w:ascii="宋体" w:hAnsi="宋体" w:hint="eastAsia"/>
          <w:sz w:val="24"/>
        </w:rPr>
        <w:t>10</w:t>
      </w:r>
      <w:r>
        <w:rPr>
          <w:rFonts w:ascii="宋体" w:hAnsi="宋体" w:hint="eastAsia"/>
          <w:sz w:val="24"/>
        </w:rPr>
        <w:t>月</w:t>
      </w:r>
      <w:r w:rsidR="00DB0EC9">
        <w:rPr>
          <w:rFonts w:ascii="宋体" w:hAnsi="宋体" w:hint="eastAsia"/>
          <w:sz w:val="24"/>
        </w:rPr>
        <w:t>8</w:t>
      </w:r>
      <w:r>
        <w:rPr>
          <w:rFonts w:ascii="宋体" w:hAnsi="宋体" w:hint="eastAsia"/>
          <w:sz w:val="24"/>
        </w:rPr>
        <w:t>日</w:t>
      </w:r>
    </w:p>
    <w:sectPr w:rsidR="0034634C" w:rsidSect="0034634C">
      <w:footerReference w:type="default" r:id="rId13"/>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4F7" w:rsidRDefault="00E414F7" w:rsidP="0034634C">
      <w:r>
        <w:separator/>
      </w:r>
    </w:p>
  </w:endnote>
  <w:endnote w:type="continuationSeparator" w:id="1">
    <w:p w:rsidR="00E414F7" w:rsidRDefault="00E414F7" w:rsidP="00346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035508"/>
    </w:sdtPr>
    <w:sdtContent>
      <w:p w:rsidR="0034634C" w:rsidRDefault="007D58CF">
        <w:pPr>
          <w:pStyle w:val="a7"/>
          <w:jc w:val="center"/>
        </w:pPr>
        <w:r>
          <w:fldChar w:fldCharType="begin"/>
        </w:r>
        <w:r w:rsidR="00F750F8">
          <w:instrText>PAGE   \* MERGEFORMAT</w:instrText>
        </w:r>
        <w:r>
          <w:fldChar w:fldCharType="separate"/>
        </w:r>
        <w:r w:rsidR="00694453" w:rsidRPr="00694453">
          <w:rPr>
            <w:noProof/>
            <w:lang w:val="zh-CN"/>
          </w:rPr>
          <w:t>1</w:t>
        </w:r>
        <w:r>
          <w:fldChar w:fldCharType="end"/>
        </w:r>
      </w:p>
    </w:sdtContent>
  </w:sdt>
  <w:p w:rsidR="0034634C" w:rsidRDefault="003463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4F7" w:rsidRDefault="00E414F7" w:rsidP="0034634C">
      <w:r>
        <w:separator/>
      </w:r>
    </w:p>
  </w:footnote>
  <w:footnote w:type="continuationSeparator" w:id="1">
    <w:p w:rsidR="00E414F7" w:rsidRDefault="00E414F7" w:rsidP="00346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
    <w:nsid w:val="3B89324E"/>
    <w:multiLevelType w:val="multilevel"/>
    <w:tmpl w:val="3B89324E"/>
    <w:lvl w:ilvl="0">
      <w:start w:val="2"/>
      <w:numFmt w:val="decimal"/>
      <w:lvlText w:val="%1"/>
      <w:lvlJc w:val="left"/>
      <w:pPr>
        <w:tabs>
          <w:tab w:val="left" w:pos="360"/>
        </w:tabs>
        <w:ind w:left="360" w:hanging="360"/>
      </w:pPr>
      <w:rPr>
        <w:rFonts w:hint="default"/>
      </w:rPr>
    </w:lvl>
    <w:lvl w:ilvl="1">
      <w:start w:val="2"/>
      <w:numFmt w:val="decimal"/>
      <w:isLgl/>
      <w:lvlText w:val="%1.%2"/>
      <w:lvlJc w:val="left"/>
      <w:pPr>
        <w:tabs>
          <w:tab w:val="left" w:pos="600"/>
        </w:tabs>
        <w:ind w:left="600" w:hanging="600"/>
      </w:pPr>
      <w:rPr>
        <w:rFonts w:hAnsi="Times New Roman" w:hint="default"/>
      </w:rPr>
    </w:lvl>
    <w:lvl w:ilvl="2">
      <w:start w:val="1"/>
      <w:numFmt w:val="decimal"/>
      <w:isLgl/>
      <w:lvlText w:val="%1.%2.%3"/>
      <w:lvlJc w:val="left"/>
      <w:pPr>
        <w:tabs>
          <w:tab w:val="left" w:pos="720"/>
        </w:tabs>
        <w:ind w:left="720" w:hanging="720"/>
      </w:pPr>
      <w:rPr>
        <w:rFonts w:hAnsi="Times New Roman" w:hint="default"/>
      </w:rPr>
    </w:lvl>
    <w:lvl w:ilvl="3">
      <w:start w:val="1"/>
      <w:numFmt w:val="decimal"/>
      <w:isLgl/>
      <w:lvlText w:val="%1.%2.%3.%4"/>
      <w:lvlJc w:val="left"/>
      <w:pPr>
        <w:tabs>
          <w:tab w:val="left" w:pos="1080"/>
        </w:tabs>
        <w:ind w:left="1080" w:hanging="1080"/>
      </w:pPr>
      <w:rPr>
        <w:rFonts w:hAnsi="Times New Roman" w:hint="default"/>
      </w:rPr>
    </w:lvl>
    <w:lvl w:ilvl="4">
      <w:start w:val="1"/>
      <w:numFmt w:val="decimal"/>
      <w:isLgl/>
      <w:lvlText w:val="%1.%2.%3.%4.%5"/>
      <w:lvlJc w:val="left"/>
      <w:pPr>
        <w:tabs>
          <w:tab w:val="left" w:pos="1080"/>
        </w:tabs>
        <w:ind w:left="1080" w:hanging="1080"/>
      </w:pPr>
      <w:rPr>
        <w:rFonts w:hAnsi="Times New Roman" w:hint="default"/>
      </w:rPr>
    </w:lvl>
    <w:lvl w:ilvl="5">
      <w:start w:val="1"/>
      <w:numFmt w:val="decimal"/>
      <w:isLgl/>
      <w:lvlText w:val="%1.%2.%3.%4.%5.%6"/>
      <w:lvlJc w:val="left"/>
      <w:pPr>
        <w:tabs>
          <w:tab w:val="left" w:pos="1440"/>
        </w:tabs>
        <w:ind w:left="1440" w:hanging="1440"/>
      </w:pPr>
      <w:rPr>
        <w:rFonts w:hAnsi="Times New Roman" w:hint="default"/>
      </w:rPr>
    </w:lvl>
    <w:lvl w:ilvl="6">
      <w:start w:val="1"/>
      <w:numFmt w:val="decimal"/>
      <w:isLgl/>
      <w:lvlText w:val="%1.%2.%3.%4.%5.%6.%7"/>
      <w:lvlJc w:val="left"/>
      <w:pPr>
        <w:tabs>
          <w:tab w:val="left" w:pos="1800"/>
        </w:tabs>
        <w:ind w:left="1800" w:hanging="1800"/>
      </w:pPr>
      <w:rPr>
        <w:rFonts w:hAnsi="Times New Roman" w:hint="default"/>
      </w:rPr>
    </w:lvl>
    <w:lvl w:ilvl="7">
      <w:start w:val="1"/>
      <w:numFmt w:val="decimal"/>
      <w:isLgl/>
      <w:lvlText w:val="%1.%2.%3.%4.%5.%6.%7.%8"/>
      <w:lvlJc w:val="left"/>
      <w:pPr>
        <w:tabs>
          <w:tab w:val="left" w:pos="1800"/>
        </w:tabs>
        <w:ind w:left="1800" w:hanging="1800"/>
      </w:pPr>
      <w:rPr>
        <w:rFonts w:hAnsi="Times New Roman" w:hint="default"/>
      </w:rPr>
    </w:lvl>
    <w:lvl w:ilvl="8">
      <w:start w:val="1"/>
      <w:numFmt w:val="decimal"/>
      <w:isLgl/>
      <w:lvlText w:val="%1.%2.%3.%4.%5.%6.%7.%8.%9"/>
      <w:lvlJc w:val="left"/>
      <w:pPr>
        <w:tabs>
          <w:tab w:val="left" w:pos="2160"/>
        </w:tabs>
        <w:ind w:left="2160" w:hanging="2160"/>
      </w:pPr>
      <w:rPr>
        <w:rFonts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01581"/>
    <w:rsid w:val="00040D3A"/>
    <w:rsid w:val="00052113"/>
    <w:rsid w:val="0007279A"/>
    <w:rsid w:val="000911E2"/>
    <w:rsid w:val="000A369F"/>
    <w:rsid w:val="00121FE9"/>
    <w:rsid w:val="00181312"/>
    <w:rsid w:val="002255FB"/>
    <w:rsid w:val="002503EF"/>
    <w:rsid w:val="00316B0E"/>
    <w:rsid w:val="0034634C"/>
    <w:rsid w:val="00362C0E"/>
    <w:rsid w:val="003E5F75"/>
    <w:rsid w:val="004770A1"/>
    <w:rsid w:val="00484C06"/>
    <w:rsid w:val="004A4C64"/>
    <w:rsid w:val="005345B1"/>
    <w:rsid w:val="00540984"/>
    <w:rsid w:val="00546478"/>
    <w:rsid w:val="005A6FBB"/>
    <w:rsid w:val="005D31E3"/>
    <w:rsid w:val="006206CA"/>
    <w:rsid w:val="00620B9E"/>
    <w:rsid w:val="00657F56"/>
    <w:rsid w:val="00676332"/>
    <w:rsid w:val="00694453"/>
    <w:rsid w:val="006F6E23"/>
    <w:rsid w:val="007157E2"/>
    <w:rsid w:val="007332C3"/>
    <w:rsid w:val="00745220"/>
    <w:rsid w:val="007B4B09"/>
    <w:rsid w:val="007D58CF"/>
    <w:rsid w:val="00805ED4"/>
    <w:rsid w:val="00830608"/>
    <w:rsid w:val="008453B9"/>
    <w:rsid w:val="008C7703"/>
    <w:rsid w:val="008E426E"/>
    <w:rsid w:val="009711CF"/>
    <w:rsid w:val="009A412F"/>
    <w:rsid w:val="00A86128"/>
    <w:rsid w:val="00A92F4B"/>
    <w:rsid w:val="00AD2259"/>
    <w:rsid w:val="00B66AB8"/>
    <w:rsid w:val="00B87D56"/>
    <w:rsid w:val="00BC638D"/>
    <w:rsid w:val="00BD0672"/>
    <w:rsid w:val="00C50002"/>
    <w:rsid w:val="00D11748"/>
    <w:rsid w:val="00D67579"/>
    <w:rsid w:val="00D734F3"/>
    <w:rsid w:val="00D9212F"/>
    <w:rsid w:val="00DB0EC9"/>
    <w:rsid w:val="00DE783D"/>
    <w:rsid w:val="00DF1636"/>
    <w:rsid w:val="00E01581"/>
    <w:rsid w:val="00E170CE"/>
    <w:rsid w:val="00E306A2"/>
    <w:rsid w:val="00E414F7"/>
    <w:rsid w:val="00E7160B"/>
    <w:rsid w:val="00E95D36"/>
    <w:rsid w:val="00EA4B27"/>
    <w:rsid w:val="00EF15D1"/>
    <w:rsid w:val="00F02DFA"/>
    <w:rsid w:val="00F32521"/>
    <w:rsid w:val="00F750F8"/>
    <w:rsid w:val="00F969F1"/>
    <w:rsid w:val="08AB1AA8"/>
    <w:rsid w:val="0C5D4E32"/>
    <w:rsid w:val="12945FF0"/>
    <w:rsid w:val="212E5F2A"/>
    <w:rsid w:val="306508D1"/>
    <w:rsid w:val="339E71E0"/>
    <w:rsid w:val="34E432D7"/>
    <w:rsid w:val="37360843"/>
    <w:rsid w:val="38F15D2F"/>
    <w:rsid w:val="3F204B08"/>
    <w:rsid w:val="45D67686"/>
    <w:rsid w:val="4AC10EFF"/>
    <w:rsid w:val="4C736A77"/>
    <w:rsid w:val="65803AF0"/>
    <w:rsid w:val="69C55C19"/>
    <w:rsid w:val="7103054C"/>
    <w:rsid w:val="75DD3027"/>
    <w:rsid w:val="761F7546"/>
    <w:rsid w:val="7C7E5321"/>
    <w:rsid w:val="7FD86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4634C"/>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Char"/>
    <w:uiPriority w:val="99"/>
    <w:semiHidden/>
    <w:unhideWhenUsed/>
    <w:qFormat/>
    <w:rsid w:val="0034634C"/>
    <w:rPr>
      <w:sz w:val="18"/>
      <w:szCs w:val="18"/>
    </w:rPr>
  </w:style>
  <w:style w:type="paragraph" w:styleId="a7">
    <w:name w:val="footer"/>
    <w:basedOn w:val="a2"/>
    <w:link w:val="Char0"/>
    <w:uiPriority w:val="99"/>
    <w:unhideWhenUsed/>
    <w:qFormat/>
    <w:rsid w:val="0034634C"/>
    <w:pPr>
      <w:tabs>
        <w:tab w:val="center" w:pos="4153"/>
        <w:tab w:val="right" w:pos="8306"/>
      </w:tabs>
      <w:snapToGrid w:val="0"/>
      <w:jc w:val="left"/>
    </w:pPr>
    <w:rPr>
      <w:sz w:val="18"/>
      <w:szCs w:val="18"/>
    </w:rPr>
  </w:style>
  <w:style w:type="paragraph" w:styleId="a8">
    <w:name w:val="header"/>
    <w:basedOn w:val="a2"/>
    <w:link w:val="Char1"/>
    <w:uiPriority w:val="99"/>
    <w:unhideWhenUsed/>
    <w:qFormat/>
    <w:rsid w:val="0034634C"/>
    <w:pPr>
      <w:pBdr>
        <w:bottom w:val="single" w:sz="6" w:space="1" w:color="auto"/>
      </w:pBdr>
      <w:tabs>
        <w:tab w:val="center" w:pos="4153"/>
        <w:tab w:val="right" w:pos="8306"/>
      </w:tabs>
      <w:snapToGrid w:val="0"/>
      <w:jc w:val="center"/>
    </w:pPr>
    <w:rPr>
      <w:sz w:val="18"/>
      <w:szCs w:val="18"/>
    </w:rPr>
  </w:style>
  <w:style w:type="paragraph" w:styleId="a9">
    <w:name w:val="Normal (Web)"/>
    <w:basedOn w:val="a2"/>
    <w:uiPriority w:val="99"/>
    <w:semiHidden/>
    <w:unhideWhenUsed/>
    <w:qFormat/>
    <w:rsid w:val="0034634C"/>
    <w:rPr>
      <w:sz w:val="24"/>
    </w:rPr>
  </w:style>
  <w:style w:type="table" w:styleId="aa">
    <w:name w:val="Table Grid"/>
    <w:basedOn w:val="a4"/>
    <w:uiPriority w:val="59"/>
    <w:qFormat/>
    <w:rsid w:val="003463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2"/>
    <w:uiPriority w:val="34"/>
    <w:qFormat/>
    <w:rsid w:val="0034634C"/>
    <w:pPr>
      <w:ind w:firstLineChars="200" w:firstLine="420"/>
    </w:pPr>
  </w:style>
  <w:style w:type="character" w:customStyle="1" w:styleId="Char1">
    <w:name w:val="页眉 Char"/>
    <w:basedOn w:val="a3"/>
    <w:link w:val="a8"/>
    <w:uiPriority w:val="99"/>
    <w:qFormat/>
    <w:rsid w:val="0034634C"/>
    <w:rPr>
      <w:rFonts w:ascii="Times New Roman" w:eastAsia="宋体" w:hAnsi="Times New Roman" w:cs="Times New Roman"/>
      <w:sz w:val="18"/>
      <w:szCs w:val="18"/>
    </w:rPr>
  </w:style>
  <w:style w:type="character" w:customStyle="1" w:styleId="Char0">
    <w:name w:val="页脚 Char"/>
    <w:basedOn w:val="a3"/>
    <w:link w:val="a7"/>
    <w:uiPriority w:val="99"/>
    <w:qFormat/>
    <w:rsid w:val="0034634C"/>
    <w:rPr>
      <w:rFonts w:ascii="Times New Roman" w:eastAsia="宋体" w:hAnsi="Times New Roman" w:cs="Times New Roman"/>
      <w:sz w:val="18"/>
      <w:szCs w:val="18"/>
    </w:rPr>
  </w:style>
  <w:style w:type="paragraph" w:customStyle="1" w:styleId="ac">
    <w:name w:val="段"/>
    <w:link w:val="Char2"/>
    <w:qFormat/>
    <w:rsid w:val="0034634C"/>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3"/>
    <w:link w:val="ac"/>
    <w:qFormat/>
    <w:rsid w:val="0034634C"/>
    <w:rPr>
      <w:rFonts w:ascii="宋体" w:eastAsia="宋体" w:hAnsi="Times New Roman" w:cs="Times New Roman"/>
      <w:kern w:val="0"/>
      <w:szCs w:val="20"/>
    </w:rPr>
  </w:style>
  <w:style w:type="paragraph" w:customStyle="1" w:styleId="a">
    <w:name w:val="列项——（一级）"/>
    <w:qFormat/>
    <w:rsid w:val="0034634C"/>
    <w:pPr>
      <w:widowControl w:val="0"/>
      <w:numPr>
        <w:numId w:val="1"/>
      </w:numPr>
      <w:jc w:val="both"/>
    </w:pPr>
    <w:rPr>
      <w:rFonts w:ascii="宋体"/>
      <w:sz w:val="21"/>
    </w:rPr>
  </w:style>
  <w:style w:type="paragraph" w:customStyle="1" w:styleId="a0">
    <w:name w:val="列项●（二级）"/>
    <w:qFormat/>
    <w:rsid w:val="0034634C"/>
    <w:pPr>
      <w:numPr>
        <w:ilvl w:val="1"/>
        <w:numId w:val="1"/>
      </w:numPr>
      <w:tabs>
        <w:tab w:val="left" w:pos="840"/>
      </w:tabs>
      <w:jc w:val="both"/>
    </w:pPr>
    <w:rPr>
      <w:rFonts w:ascii="宋体"/>
      <w:sz w:val="21"/>
    </w:rPr>
  </w:style>
  <w:style w:type="paragraph" w:customStyle="1" w:styleId="a1">
    <w:name w:val="列项◆（三级）"/>
    <w:basedOn w:val="a2"/>
    <w:qFormat/>
    <w:rsid w:val="0034634C"/>
    <w:pPr>
      <w:numPr>
        <w:ilvl w:val="2"/>
        <w:numId w:val="1"/>
      </w:numPr>
    </w:pPr>
    <w:rPr>
      <w:rFonts w:ascii="宋体"/>
      <w:szCs w:val="21"/>
    </w:rPr>
  </w:style>
  <w:style w:type="character" w:customStyle="1" w:styleId="Char">
    <w:name w:val="批注框文本 Char"/>
    <w:basedOn w:val="a3"/>
    <w:link w:val="a6"/>
    <w:uiPriority w:val="99"/>
    <w:semiHidden/>
    <w:qFormat/>
    <w:rsid w:val="003463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576</Words>
  <Characters>3287</Characters>
  <Application>Microsoft Office Word</Application>
  <DocSecurity>0</DocSecurity>
  <Lines>27</Lines>
  <Paragraphs>7</Paragraphs>
  <ScaleCrop>false</ScaleCrop>
  <Company>Microsoft</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Windows 用户</cp:lastModifiedBy>
  <cp:revision>142</cp:revision>
  <dcterms:created xsi:type="dcterms:W3CDTF">2017-03-22T02:20:00Z</dcterms:created>
  <dcterms:modified xsi:type="dcterms:W3CDTF">2019-10-16T14:49:00Z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